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26AA" w:rsidRDefault="003C63D3" w:rsidP="00F57746">
      <w:pPr>
        <w:spacing w:line="276" w:lineRule="auto"/>
        <w:ind w:left="993" w:hanging="993"/>
        <w:rPr>
          <w:rFonts w:ascii="Arial" w:hAnsi="Arial" w:cs="Arial"/>
          <w:b/>
          <w:sz w:val="28"/>
        </w:rPr>
      </w:pPr>
      <w:commentRangeStart w:id="0"/>
      <w:r w:rsidRPr="00DC26AA">
        <w:rPr>
          <w:rFonts w:ascii="Arial" w:hAnsi="Arial" w:cs="Arial"/>
          <w:b/>
          <w:sz w:val="28"/>
        </w:rPr>
        <w:t xml:space="preserve">Část </w:t>
      </w:r>
      <w:r w:rsidR="00DC26AA">
        <w:rPr>
          <w:rFonts w:ascii="Arial" w:hAnsi="Arial" w:cs="Arial"/>
          <w:b/>
          <w:sz w:val="28"/>
        </w:rPr>
        <w:t xml:space="preserve"> </w:t>
      </w:r>
      <w:r w:rsidRPr="00DC26AA">
        <w:rPr>
          <w:rFonts w:ascii="Arial" w:hAnsi="Arial" w:cs="Arial"/>
          <w:b/>
          <w:sz w:val="28"/>
        </w:rPr>
        <w:t xml:space="preserve">E </w:t>
      </w:r>
      <w:r w:rsidR="00DC26AA">
        <w:rPr>
          <w:rFonts w:ascii="Arial" w:hAnsi="Arial" w:cs="Arial"/>
          <w:b/>
          <w:sz w:val="28"/>
        </w:rPr>
        <w:t xml:space="preserve"> </w:t>
      </w:r>
      <w:r w:rsidRPr="00DC26AA">
        <w:rPr>
          <w:rFonts w:ascii="Arial" w:hAnsi="Arial" w:cs="Arial"/>
          <w:b/>
          <w:sz w:val="28"/>
        </w:rPr>
        <w:t xml:space="preserve">ORIENTAČNÍ </w:t>
      </w:r>
      <w:r w:rsidR="00DC26AA">
        <w:rPr>
          <w:rFonts w:ascii="Arial" w:hAnsi="Arial" w:cs="Arial"/>
          <w:b/>
          <w:sz w:val="28"/>
        </w:rPr>
        <w:t xml:space="preserve"> </w:t>
      </w:r>
      <w:r w:rsidRPr="00DC26AA">
        <w:rPr>
          <w:rFonts w:ascii="Arial" w:hAnsi="Arial" w:cs="Arial"/>
          <w:b/>
          <w:sz w:val="28"/>
        </w:rPr>
        <w:t xml:space="preserve">DOPRAVNÍ </w:t>
      </w:r>
      <w:r w:rsidR="00DC26AA">
        <w:rPr>
          <w:rFonts w:ascii="Arial" w:hAnsi="Arial" w:cs="Arial"/>
          <w:b/>
          <w:sz w:val="28"/>
        </w:rPr>
        <w:t xml:space="preserve"> </w:t>
      </w:r>
      <w:r w:rsidRPr="00DC26AA">
        <w:rPr>
          <w:rFonts w:ascii="Arial" w:hAnsi="Arial" w:cs="Arial"/>
          <w:b/>
          <w:sz w:val="28"/>
        </w:rPr>
        <w:t xml:space="preserve">ZNAČENÍ </w:t>
      </w:r>
      <w:r w:rsidR="00DC26AA">
        <w:rPr>
          <w:rFonts w:ascii="Arial" w:hAnsi="Arial" w:cs="Arial"/>
          <w:b/>
          <w:sz w:val="28"/>
        </w:rPr>
        <w:t xml:space="preserve"> </w:t>
      </w:r>
      <w:r w:rsidRPr="00DC26AA">
        <w:rPr>
          <w:rFonts w:ascii="Arial" w:hAnsi="Arial" w:cs="Arial"/>
          <w:b/>
          <w:sz w:val="28"/>
        </w:rPr>
        <w:t xml:space="preserve">OBSLUŽNÝCH </w:t>
      </w:r>
      <w:r w:rsidR="00DC26AA">
        <w:rPr>
          <w:rFonts w:ascii="Arial" w:hAnsi="Arial" w:cs="Arial"/>
          <w:b/>
          <w:sz w:val="28"/>
        </w:rPr>
        <w:t xml:space="preserve">  </w:t>
      </w:r>
    </w:p>
    <w:p w:rsidR="003C63D3" w:rsidRPr="00DC26AA" w:rsidRDefault="00DC26AA" w:rsidP="003C63D3">
      <w:pPr>
        <w:ind w:left="993" w:hanging="993"/>
        <w:rPr>
          <w:rFonts w:ascii="Arial" w:hAnsi="Arial" w:cs="Arial"/>
          <w:b/>
          <w:sz w:val="28"/>
        </w:rPr>
      </w:pPr>
      <w:r>
        <w:rPr>
          <w:rFonts w:ascii="Arial" w:hAnsi="Arial" w:cs="Arial"/>
          <w:b/>
          <w:sz w:val="28"/>
        </w:rPr>
        <w:t xml:space="preserve">              </w:t>
      </w:r>
      <w:r w:rsidR="003C63D3" w:rsidRPr="00DC26AA">
        <w:rPr>
          <w:rFonts w:ascii="Arial" w:hAnsi="Arial" w:cs="Arial"/>
          <w:b/>
          <w:sz w:val="28"/>
        </w:rPr>
        <w:t>DOPRAVNÍCH  ZAŘÍZENÍ</w:t>
      </w:r>
      <w:commentRangeEnd w:id="0"/>
      <w:r w:rsidR="00FD4F34">
        <w:rPr>
          <w:rStyle w:val="Odkaznakoment"/>
        </w:rPr>
        <w:commentReference w:id="0"/>
      </w:r>
    </w:p>
    <w:p w:rsidR="003C63D3" w:rsidRPr="00DC26AA" w:rsidRDefault="003C63D3" w:rsidP="003C63D3">
      <w:pPr>
        <w:rPr>
          <w:rFonts w:ascii="Arial" w:hAnsi="Arial" w:cs="Arial"/>
          <w:b/>
          <w:sz w:val="28"/>
        </w:rPr>
      </w:pPr>
    </w:p>
    <w:p w:rsidR="003C63D3" w:rsidRPr="00DC26AA" w:rsidRDefault="003C63D3" w:rsidP="003C63D3">
      <w:pPr>
        <w:rPr>
          <w:rFonts w:ascii="Arial" w:hAnsi="Arial" w:cs="Arial"/>
          <w:b/>
          <w:sz w:val="28"/>
        </w:rPr>
      </w:pPr>
    </w:p>
    <w:p w:rsidR="003C63D3" w:rsidRPr="00DC26AA" w:rsidRDefault="003C63D3" w:rsidP="003C63D3">
      <w:pPr>
        <w:rPr>
          <w:rFonts w:ascii="Arial" w:hAnsi="Arial" w:cs="Arial"/>
          <w:b/>
        </w:rPr>
      </w:pPr>
      <w:r w:rsidRPr="00DC26AA">
        <w:rPr>
          <w:rFonts w:ascii="Arial" w:hAnsi="Arial" w:cs="Arial"/>
          <w:b/>
        </w:rPr>
        <w:t>1</w:t>
      </w:r>
      <w:r w:rsidR="00DC26AA">
        <w:rPr>
          <w:rFonts w:ascii="Arial" w:hAnsi="Arial" w:cs="Arial"/>
          <w:b/>
        </w:rPr>
        <w:t xml:space="preserve"> </w:t>
      </w:r>
      <w:r w:rsidRPr="00DC26AA">
        <w:rPr>
          <w:rFonts w:ascii="Arial" w:hAnsi="Arial" w:cs="Arial"/>
          <w:b/>
        </w:rPr>
        <w:t xml:space="preserve"> ZÁKLADNÍ POJMY</w:t>
      </w:r>
    </w:p>
    <w:p w:rsidR="003C63D3" w:rsidRPr="00DC26AA" w:rsidRDefault="003C63D3" w:rsidP="003C63D3">
      <w:pPr>
        <w:rPr>
          <w:rFonts w:ascii="Arial" w:hAnsi="Arial" w:cs="Arial"/>
          <w:b/>
          <w:sz w:val="28"/>
        </w:rPr>
      </w:pPr>
    </w:p>
    <w:p w:rsidR="003C63D3" w:rsidRPr="00DC26AA" w:rsidRDefault="003C63D3" w:rsidP="003C63D3">
      <w:pPr>
        <w:jc w:val="both"/>
        <w:rPr>
          <w:rFonts w:ascii="Arial" w:hAnsi="Arial" w:cs="Arial"/>
          <w:b/>
        </w:rPr>
      </w:pPr>
      <w:r w:rsidRPr="00DC26AA">
        <w:rPr>
          <w:rFonts w:ascii="Arial" w:hAnsi="Arial" w:cs="Arial"/>
          <w:b/>
        </w:rPr>
        <w:t xml:space="preserve">1.1 Všeobecně </w:t>
      </w:r>
    </w:p>
    <w:p w:rsidR="003C63D3" w:rsidRPr="00DC26AA" w:rsidRDefault="003C63D3" w:rsidP="003C63D3">
      <w:pPr>
        <w:jc w:val="both"/>
        <w:rPr>
          <w:rFonts w:ascii="Arial" w:hAnsi="Arial" w:cs="Arial"/>
          <w:b/>
        </w:rPr>
      </w:pPr>
    </w:p>
    <w:p w:rsidR="003C63D3" w:rsidRPr="00DC26AA" w:rsidRDefault="003C63D3" w:rsidP="00DC26AA">
      <w:pPr>
        <w:jc w:val="both"/>
        <w:rPr>
          <w:rFonts w:ascii="Arial" w:hAnsi="Arial" w:cs="Arial"/>
          <w:sz w:val="20"/>
          <w:szCs w:val="20"/>
        </w:rPr>
      </w:pPr>
      <w:r w:rsidRPr="00DC26AA">
        <w:rPr>
          <w:rFonts w:ascii="Arial" w:hAnsi="Arial" w:cs="Arial"/>
          <w:sz w:val="20"/>
          <w:szCs w:val="20"/>
        </w:rPr>
        <w:t>V této části jsou stanoveny zásady pro užití, provedení a umístění orientačních dopravních značek označujících odpočívku, zejména na dálnici a SMV. Na odpočívce se předpokládá umístění parkoviště i ostatních vybraných obslužných zařízení. Tyto zásady se přiměřeně vztahují i na ostatní pozemní komunikace (v obci i mimo obec), pokud není v konkrétním případě uvedeno jinak.</w:t>
      </w:r>
    </w:p>
    <w:p w:rsidR="003C63D3" w:rsidRPr="00DC26AA" w:rsidRDefault="003C63D3" w:rsidP="003C63D3">
      <w:pPr>
        <w:numPr>
          <w:ilvl w:val="12"/>
          <w:numId w:val="0"/>
        </w:numPr>
        <w:jc w:val="both"/>
        <w:rPr>
          <w:rFonts w:ascii="Arial" w:hAnsi="Arial" w:cs="Arial"/>
        </w:rPr>
      </w:pPr>
    </w:p>
    <w:p w:rsidR="003C63D3" w:rsidRPr="00DC26AA" w:rsidRDefault="003C63D3" w:rsidP="00DC26AA">
      <w:pPr>
        <w:jc w:val="both"/>
        <w:rPr>
          <w:rFonts w:ascii="Arial" w:hAnsi="Arial" w:cs="Arial"/>
          <w:sz w:val="20"/>
          <w:szCs w:val="20"/>
        </w:rPr>
      </w:pPr>
      <w:r w:rsidRPr="00DC26AA">
        <w:rPr>
          <w:rFonts w:ascii="Arial" w:hAnsi="Arial" w:cs="Arial"/>
          <w:sz w:val="20"/>
          <w:szCs w:val="20"/>
        </w:rPr>
        <w:t>Pro účely těchto Zásad se parkovištěm rozumí označená plocha, kde je dovoleno zastavení a stání vozidel. Na parkovišti nejsou přitom poskytovány další služby, které nesouvisí s organizací stání vozidel na parkovišti.</w:t>
      </w:r>
    </w:p>
    <w:p w:rsidR="003C63D3" w:rsidRPr="00DC26AA" w:rsidRDefault="003C63D3" w:rsidP="003C63D3">
      <w:pPr>
        <w:numPr>
          <w:ilvl w:val="12"/>
          <w:numId w:val="0"/>
        </w:numPr>
        <w:jc w:val="both"/>
        <w:rPr>
          <w:rFonts w:ascii="Arial" w:hAnsi="Arial" w:cs="Arial"/>
        </w:rPr>
      </w:pPr>
    </w:p>
    <w:p w:rsidR="003C63D3" w:rsidRPr="00DC26AA" w:rsidRDefault="003C63D3" w:rsidP="00DC26AA">
      <w:pPr>
        <w:jc w:val="both"/>
        <w:rPr>
          <w:rFonts w:ascii="Arial" w:hAnsi="Arial" w:cs="Arial"/>
          <w:sz w:val="20"/>
          <w:szCs w:val="20"/>
        </w:rPr>
      </w:pPr>
      <w:r w:rsidRPr="00DC26AA">
        <w:rPr>
          <w:rFonts w:ascii="Arial" w:hAnsi="Arial" w:cs="Arial"/>
          <w:sz w:val="20"/>
          <w:szCs w:val="20"/>
        </w:rPr>
        <w:t xml:space="preserve">Odpočívkou se pro účely těchto Zásad rozumí označený prostor oddělený od jízdního pásu s plochou určenou pro zastavení a stání vozidel a s jedním nebo více obslužnými zařízeními majícími vztah k  provozu (např. WC, kiosek s občerstvením, restaurace, čerpací stanice, motel apod.). </w:t>
      </w:r>
    </w:p>
    <w:p w:rsidR="003C63D3" w:rsidRPr="00DC26AA" w:rsidRDefault="003C63D3" w:rsidP="003C63D3">
      <w:pPr>
        <w:ind w:left="60"/>
        <w:jc w:val="both"/>
        <w:rPr>
          <w:rFonts w:ascii="Arial" w:hAnsi="Arial" w:cs="Arial"/>
        </w:rPr>
      </w:pPr>
    </w:p>
    <w:p w:rsidR="003C63D3" w:rsidRPr="00DC26AA" w:rsidRDefault="003C63D3" w:rsidP="003C63D3">
      <w:pPr>
        <w:jc w:val="both"/>
        <w:rPr>
          <w:rFonts w:ascii="Arial" w:hAnsi="Arial" w:cs="Arial"/>
          <w:i/>
        </w:rPr>
      </w:pPr>
    </w:p>
    <w:p w:rsidR="003C63D3" w:rsidRPr="00DC26AA" w:rsidRDefault="00B7662F" w:rsidP="003C63D3">
      <w:pPr>
        <w:jc w:val="both"/>
        <w:rPr>
          <w:rFonts w:ascii="Arial" w:hAnsi="Arial" w:cs="Arial"/>
          <w:b/>
        </w:rPr>
      </w:pPr>
      <w:r w:rsidRPr="00DC26AA">
        <w:rPr>
          <w:rFonts w:ascii="Arial" w:hAnsi="Arial" w:cs="Arial"/>
          <w:b/>
        </w:rPr>
        <w:t>2 OZNAČENÍ PARKOVIŠTĚ A ODPOČÍVKY</w:t>
      </w:r>
    </w:p>
    <w:p w:rsidR="003C63D3" w:rsidRPr="00DC26AA" w:rsidRDefault="003C63D3" w:rsidP="003C63D3">
      <w:pPr>
        <w:jc w:val="both"/>
        <w:rPr>
          <w:rFonts w:ascii="Arial" w:hAnsi="Arial" w:cs="Arial"/>
          <w:b/>
        </w:rPr>
      </w:pPr>
    </w:p>
    <w:p w:rsidR="003C63D3" w:rsidRPr="00DC26AA" w:rsidRDefault="003C63D3" w:rsidP="00DC26AA">
      <w:pPr>
        <w:jc w:val="both"/>
        <w:rPr>
          <w:rFonts w:ascii="Arial" w:hAnsi="Arial" w:cs="Arial"/>
          <w:sz w:val="20"/>
          <w:szCs w:val="20"/>
        </w:rPr>
      </w:pPr>
      <w:r w:rsidRPr="00DC26AA">
        <w:rPr>
          <w:rFonts w:ascii="Arial" w:hAnsi="Arial" w:cs="Arial"/>
          <w:sz w:val="20"/>
          <w:szCs w:val="20"/>
        </w:rPr>
        <w:t>Na dálnici nebo SMV se označuje pouze parkoviště nebo odpočívka, na kterou je přímý přístup z této pozemní komunikace.</w:t>
      </w:r>
    </w:p>
    <w:p w:rsidR="003C63D3" w:rsidRPr="00DC26AA" w:rsidRDefault="003C63D3" w:rsidP="003C63D3">
      <w:pPr>
        <w:numPr>
          <w:ilvl w:val="12"/>
          <w:numId w:val="0"/>
        </w:numPr>
        <w:ind w:left="283" w:hanging="283"/>
        <w:jc w:val="both"/>
        <w:rPr>
          <w:rFonts w:ascii="Arial" w:hAnsi="Arial" w:cs="Arial"/>
        </w:rPr>
      </w:pPr>
    </w:p>
    <w:p w:rsidR="003C63D3" w:rsidRPr="00DC26AA" w:rsidRDefault="003C63D3" w:rsidP="00DC26AA">
      <w:pPr>
        <w:jc w:val="both"/>
        <w:rPr>
          <w:rFonts w:ascii="Arial" w:hAnsi="Arial" w:cs="Arial"/>
          <w:i/>
          <w:sz w:val="20"/>
          <w:szCs w:val="20"/>
        </w:rPr>
      </w:pPr>
      <w:r w:rsidRPr="00DC26AA">
        <w:rPr>
          <w:rFonts w:ascii="Arial" w:hAnsi="Arial" w:cs="Arial"/>
          <w:sz w:val="20"/>
          <w:szCs w:val="20"/>
        </w:rPr>
        <w:t xml:space="preserve">Mimo dálnici a SMV se užívají značky dle těchto Zásad zejména k označení významnějšího parkoviště nebo odpočívky, (např. záchytné parkoviště v obci s napojením na městskou hromadnou dopravu - „P + R“). </w:t>
      </w:r>
    </w:p>
    <w:p w:rsidR="003C63D3" w:rsidRPr="00DC26AA" w:rsidRDefault="003C63D3" w:rsidP="003C63D3">
      <w:pPr>
        <w:numPr>
          <w:ilvl w:val="12"/>
          <w:numId w:val="0"/>
        </w:numPr>
        <w:ind w:left="283" w:hanging="283"/>
        <w:jc w:val="both"/>
        <w:rPr>
          <w:rFonts w:ascii="Arial" w:hAnsi="Arial" w:cs="Arial"/>
          <w:i/>
        </w:rPr>
      </w:pPr>
    </w:p>
    <w:p w:rsidR="003C63D3" w:rsidRPr="00DC26AA" w:rsidRDefault="003C63D3" w:rsidP="00DC26AA">
      <w:pPr>
        <w:jc w:val="both"/>
        <w:rPr>
          <w:rFonts w:ascii="Arial" w:hAnsi="Arial" w:cs="Arial"/>
          <w:sz w:val="20"/>
          <w:szCs w:val="20"/>
        </w:rPr>
      </w:pPr>
      <w:r w:rsidRPr="00DC26AA">
        <w:rPr>
          <w:rFonts w:ascii="Arial" w:hAnsi="Arial" w:cs="Arial"/>
          <w:sz w:val="20"/>
          <w:szCs w:val="20"/>
        </w:rPr>
        <w:t>K navádění vozidel k parkovišti nebo odpočívce se užívá předběžných značek.</w:t>
      </w:r>
    </w:p>
    <w:p w:rsidR="003C63D3" w:rsidRPr="00DC26AA" w:rsidRDefault="003C63D3" w:rsidP="003C63D3">
      <w:pPr>
        <w:jc w:val="both"/>
        <w:rPr>
          <w:rFonts w:ascii="Arial" w:hAnsi="Arial" w:cs="Arial"/>
        </w:rPr>
      </w:pPr>
    </w:p>
    <w:p w:rsidR="003C63D3" w:rsidRPr="00DC26AA" w:rsidRDefault="003C63D3" w:rsidP="003C63D3">
      <w:pPr>
        <w:jc w:val="both"/>
        <w:rPr>
          <w:rFonts w:ascii="Arial" w:hAnsi="Arial" w:cs="Arial"/>
        </w:rPr>
      </w:pPr>
      <w:r w:rsidRPr="00DC26AA">
        <w:rPr>
          <w:rFonts w:ascii="Arial" w:hAnsi="Arial" w:cs="Arial"/>
        </w:rPr>
        <w:t xml:space="preserve"> </w:t>
      </w:r>
    </w:p>
    <w:p w:rsidR="003C63D3" w:rsidRPr="00DC26AA" w:rsidRDefault="00B7662F" w:rsidP="003C63D3">
      <w:pPr>
        <w:jc w:val="both"/>
        <w:rPr>
          <w:rFonts w:ascii="Arial" w:hAnsi="Arial" w:cs="Arial"/>
          <w:b/>
        </w:rPr>
      </w:pPr>
      <w:r w:rsidRPr="00DC26AA">
        <w:rPr>
          <w:rFonts w:ascii="Arial" w:hAnsi="Arial" w:cs="Arial"/>
          <w:b/>
        </w:rPr>
        <w:t>3 OZNAČENÍ DRUHU SLUŽEB</w:t>
      </w:r>
    </w:p>
    <w:p w:rsidR="003C63D3" w:rsidRPr="00DC26AA" w:rsidRDefault="003C63D3" w:rsidP="003C63D3">
      <w:pPr>
        <w:jc w:val="both"/>
        <w:rPr>
          <w:rFonts w:ascii="Arial" w:hAnsi="Arial" w:cs="Arial"/>
          <w:b/>
        </w:rPr>
      </w:pPr>
    </w:p>
    <w:p w:rsidR="003C63D3" w:rsidRPr="00DC26AA" w:rsidRDefault="003C63D3" w:rsidP="003C63D3">
      <w:pPr>
        <w:jc w:val="both"/>
        <w:rPr>
          <w:rFonts w:ascii="Arial" w:hAnsi="Arial" w:cs="Arial"/>
          <w:b/>
        </w:rPr>
      </w:pPr>
      <w:r w:rsidRPr="00DC26AA">
        <w:rPr>
          <w:rFonts w:ascii="Arial" w:hAnsi="Arial" w:cs="Arial"/>
          <w:b/>
        </w:rPr>
        <w:t>3.1 Parkoviště</w:t>
      </w:r>
    </w:p>
    <w:p w:rsidR="003C63D3" w:rsidRPr="00DC26AA" w:rsidRDefault="003C63D3" w:rsidP="003C63D3">
      <w:pPr>
        <w:jc w:val="both"/>
        <w:rPr>
          <w:rFonts w:ascii="Arial" w:hAnsi="Arial" w:cs="Arial"/>
          <w:b/>
        </w:rPr>
      </w:pPr>
    </w:p>
    <w:p w:rsidR="003C63D3" w:rsidRPr="00DC26AA" w:rsidRDefault="003C63D3" w:rsidP="00DC26AA">
      <w:pPr>
        <w:spacing w:line="360" w:lineRule="auto"/>
        <w:jc w:val="both"/>
        <w:rPr>
          <w:rFonts w:ascii="Arial" w:hAnsi="Arial" w:cs="Arial"/>
          <w:sz w:val="20"/>
          <w:szCs w:val="20"/>
        </w:rPr>
      </w:pPr>
      <w:r w:rsidRPr="00DC26AA">
        <w:rPr>
          <w:rFonts w:ascii="Arial" w:hAnsi="Arial" w:cs="Arial"/>
          <w:sz w:val="20"/>
          <w:szCs w:val="20"/>
        </w:rPr>
        <w:t>Parkoviště bez vybavení se označuje značkou „Parkoviště“ č. IP 11a.</w:t>
      </w:r>
    </w:p>
    <w:p w:rsidR="003C63D3" w:rsidRPr="00DC26AA" w:rsidRDefault="003C63D3" w:rsidP="00DC26AA">
      <w:pPr>
        <w:jc w:val="both"/>
        <w:rPr>
          <w:rFonts w:ascii="Arial" w:hAnsi="Arial" w:cs="Arial"/>
          <w:sz w:val="20"/>
          <w:szCs w:val="20"/>
        </w:rPr>
      </w:pPr>
      <w:r w:rsidRPr="00DC26AA">
        <w:rPr>
          <w:rFonts w:ascii="Arial" w:hAnsi="Arial" w:cs="Arial"/>
          <w:sz w:val="20"/>
          <w:szCs w:val="20"/>
        </w:rPr>
        <w:t>Parkoviště vybavené WC se označuje kombinací značek č. IP 11a a č. IJ 12.</w:t>
      </w:r>
    </w:p>
    <w:p w:rsidR="003C63D3" w:rsidRPr="00DC26AA" w:rsidRDefault="003C63D3" w:rsidP="003C63D3">
      <w:pPr>
        <w:jc w:val="both"/>
        <w:rPr>
          <w:rFonts w:ascii="Arial" w:hAnsi="Arial" w:cs="Arial"/>
        </w:rPr>
      </w:pPr>
    </w:p>
    <w:p w:rsidR="003C63D3" w:rsidRPr="00DC26AA" w:rsidRDefault="003C63D3" w:rsidP="00DC26AA">
      <w:pPr>
        <w:jc w:val="both"/>
        <w:rPr>
          <w:rFonts w:ascii="Arial" w:hAnsi="Arial" w:cs="Arial"/>
          <w:sz w:val="20"/>
          <w:szCs w:val="20"/>
        </w:rPr>
      </w:pPr>
      <w:r w:rsidRPr="00DC26AA">
        <w:rPr>
          <w:rFonts w:ascii="Arial" w:hAnsi="Arial" w:cs="Arial"/>
          <w:sz w:val="20"/>
          <w:szCs w:val="20"/>
        </w:rPr>
        <w:t>Pokud</w:t>
      </w:r>
      <w:r w:rsidRPr="00DC26AA">
        <w:rPr>
          <w:rFonts w:ascii="Arial" w:hAnsi="Arial" w:cs="Arial"/>
          <w:b/>
          <w:sz w:val="20"/>
          <w:szCs w:val="20"/>
        </w:rPr>
        <w:t xml:space="preserve"> </w:t>
      </w:r>
      <w:r w:rsidRPr="00DC26AA">
        <w:rPr>
          <w:rFonts w:ascii="Arial" w:hAnsi="Arial" w:cs="Arial"/>
          <w:sz w:val="20"/>
          <w:szCs w:val="20"/>
        </w:rPr>
        <w:t>je</w:t>
      </w:r>
      <w:r w:rsidRPr="00DC26AA">
        <w:rPr>
          <w:rFonts w:ascii="Arial" w:hAnsi="Arial" w:cs="Arial"/>
          <w:b/>
          <w:sz w:val="20"/>
          <w:szCs w:val="20"/>
        </w:rPr>
        <w:t xml:space="preserve"> </w:t>
      </w:r>
      <w:r w:rsidRPr="00DC26AA">
        <w:rPr>
          <w:rFonts w:ascii="Arial" w:hAnsi="Arial" w:cs="Arial"/>
          <w:sz w:val="20"/>
          <w:szCs w:val="20"/>
        </w:rPr>
        <w:t>parkoviště určené pro určitý druh vozidla nebo pokud je žádoucí označit účel parkoviště (např. záchytné), vyznačují se doplňující údaje na dodatkové tabulce nebo, pokud to není na újmu čitelnosti značky, ve spodní části značky. Druh vozidla se označuje symbolem vozidla z příslušné zákazové značky, osobní automobil ze značky č. IP 11b. Autobus lze vyjádřit i nápisem „BUS“. Záchytné parkoviště, ze kterého lze pokračovat prostředky hromadné dopravy osob</w:t>
      </w:r>
      <w:r w:rsidR="00DC26AA">
        <w:rPr>
          <w:rFonts w:ascii="Arial" w:hAnsi="Arial" w:cs="Arial"/>
          <w:sz w:val="20"/>
          <w:szCs w:val="20"/>
        </w:rPr>
        <w:t>,</w:t>
      </w:r>
      <w:r w:rsidRPr="00DC26AA">
        <w:rPr>
          <w:rFonts w:ascii="Arial" w:hAnsi="Arial" w:cs="Arial"/>
          <w:sz w:val="20"/>
          <w:szCs w:val="20"/>
        </w:rPr>
        <w:t xml:space="preserve"> se označuje značkou č. IP 13d.</w:t>
      </w:r>
    </w:p>
    <w:p w:rsidR="003C63D3" w:rsidRPr="00DC26AA" w:rsidRDefault="003C63D3" w:rsidP="003C63D3">
      <w:pPr>
        <w:jc w:val="both"/>
        <w:rPr>
          <w:rFonts w:ascii="Arial" w:hAnsi="Arial" w:cs="Arial"/>
        </w:rPr>
      </w:pPr>
    </w:p>
    <w:p w:rsidR="003C63D3" w:rsidRPr="00DC26AA" w:rsidRDefault="003C63D3" w:rsidP="003C63D3">
      <w:pPr>
        <w:jc w:val="both"/>
        <w:rPr>
          <w:rFonts w:ascii="Arial" w:hAnsi="Arial" w:cs="Arial"/>
        </w:rPr>
      </w:pPr>
    </w:p>
    <w:p w:rsidR="003C63D3" w:rsidRPr="00DC26AA" w:rsidRDefault="003C63D3" w:rsidP="003C63D3">
      <w:pPr>
        <w:jc w:val="both"/>
        <w:rPr>
          <w:rFonts w:ascii="Arial" w:hAnsi="Arial" w:cs="Arial"/>
          <w:b/>
        </w:rPr>
      </w:pPr>
      <w:r w:rsidRPr="00DC26AA">
        <w:rPr>
          <w:rFonts w:ascii="Arial" w:hAnsi="Arial" w:cs="Arial"/>
          <w:b/>
        </w:rPr>
        <w:t>3.2 Odpočívka</w:t>
      </w:r>
    </w:p>
    <w:p w:rsidR="003C63D3" w:rsidRPr="00DC26AA" w:rsidRDefault="003C63D3" w:rsidP="003C63D3">
      <w:pPr>
        <w:jc w:val="both"/>
        <w:rPr>
          <w:rFonts w:ascii="Arial" w:hAnsi="Arial" w:cs="Arial"/>
          <w:b/>
        </w:rPr>
      </w:pPr>
    </w:p>
    <w:p w:rsidR="003C63D3" w:rsidRPr="00DC26AA" w:rsidRDefault="003C63D3" w:rsidP="00DC26AA">
      <w:pPr>
        <w:jc w:val="both"/>
        <w:rPr>
          <w:rFonts w:ascii="Arial" w:hAnsi="Arial" w:cs="Arial"/>
          <w:sz w:val="20"/>
          <w:szCs w:val="20"/>
        </w:rPr>
      </w:pPr>
      <w:r w:rsidRPr="00DC26AA">
        <w:rPr>
          <w:rFonts w:ascii="Arial" w:hAnsi="Arial" w:cs="Arial"/>
          <w:sz w:val="20"/>
          <w:szCs w:val="20"/>
        </w:rPr>
        <w:t>Odpočívka se označuje značkou č. IP 11a a další značkou odpovídající druhu poskytovaných služeb (značky č. IJ 5, č. IJ 7, č. IJ 8, č. IJ 10, č. IJ 11a, č. IJ 11b a č. IJ 12).</w:t>
      </w:r>
      <w:r w:rsidR="00DC26AA">
        <w:rPr>
          <w:rFonts w:ascii="Arial" w:hAnsi="Arial" w:cs="Arial"/>
          <w:sz w:val="20"/>
          <w:szCs w:val="20"/>
        </w:rPr>
        <w:t xml:space="preserve"> </w:t>
      </w:r>
    </w:p>
    <w:p w:rsidR="003C63D3" w:rsidRPr="00DC26AA" w:rsidRDefault="003C63D3" w:rsidP="003C63D3">
      <w:pPr>
        <w:numPr>
          <w:ilvl w:val="12"/>
          <w:numId w:val="0"/>
        </w:numPr>
        <w:ind w:left="283" w:hanging="283"/>
        <w:jc w:val="both"/>
        <w:rPr>
          <w:rFonts w:ascii="Arial" w:hAnsi="Arial" w:cs="Arial"/>
        </w:rPr>
      </w:pPr>
    </w:p>
    <w:p w:rsidR="003C63D3" w:rsidRPr="00DC26AA" w:rsidRDefault="003C63D3" w:rsidP="00DC26AA">
      <w:pPr>
        <w:jc w:val="both"/>
        <w:rPr>
          <w:rFonts w:ascii="Arial" w:hAnsi="Arial" w:cs="Arial"/>
          <w:sz w:val="20"/>
          <w:szCs w:val="20"/>
        </w:rPr>
      </w:pPr>
      <w:r w:rsidRPr="00DC26AA">
        <w:rPr>
          <w:rFonts w:ascii="Arial" w:hAnsi="Arial" w:cs="Arial"/>
          <w:sz w:val="20"/>
          <w:szCs w:val="20"/>
        </w:rPr>
        <w:lastRenderedPageBreak/>
        <w:t>Při užití značky „Restaurace“ č. IJ 11a se již neužívá značky „Občerstvení“ č. IJ 11b.</w:t>
      </w:r>
    </w:p>
    <w:p w:rsidR="003C63D3" w:rsidRPr="00DC26AA" w:rsidRDefault="003C63D3" w:rsidP="00DC26AA">
      <w:pPr>
        <w:numPr>
          <w:ilvl w:val="12"/>
          <w:numId w:val="0"/>
        </w:numPr>
        <w:jc w:val="both"/>
        <w:rPr>
          <w:rFonts w:ascii="Arial" w:hAnsi="Arial" w:cs="Arial"/>
        </w:rPr>
      </w:pPr>
    </w:p>
    <w:p w:rsidR="003C63D3" w:rsidRPr="00DC26AA" w:rsidRDefault="003C63D3" w:rsidP="00DC26AA">
      <w:pPr>
        <w:jc w:val="both"/>
        <w:rPr>
          <w:rFonts w:ascii="Arial" w:hAnsi="Arial" w:cs="Arial"/>
          <w:sz w:val="20"/>
          <w:szCs w:val="20"/>
        </w:rPr>
      </w:pPr>
      <w:r w:rsidRPr="00DC26AA">
        <w:rPr>
          <w:rFonts w:ascii="Arial" w:hAnsi="Arial" w:cs="Arial"/>
          <w:sz w:val="20"/>
          <w:szCs w:val="20"/>
        </w:rPr>
        <w:t>Užití příslušných značek v návaznosti na konkrétní vybavení odpočívky uvádí následující schéma:</w:t>
      </w:r>
    </w:p>
    <w:p w:rsidR="003C63D3" w:rsidRDefault="003C63D3" w:rsidP="003C63D3">
      <w:pPr>
        <w:jc w:val="both"/>
      </w:pPr>
    </w:p>
    <w:p w:rsidR="003C63D3" w:rsidRPr="00D66911" w:rsidRDefault="003C63D3" w:rsidP="003C63D3">
      <w:pPr>
        <w:jc w:val="center"/>
        <w:rPr>
          <w:rFonts w:ascii="Arial" w:hAnsi="Arial" w:cs="Arial"/>
          <w:bCs/>
          <w:iCs/>
        </w:rPr>
      </w:pPr>
    </w:p>
    <w:p w:rsidR="00026126" w:rsidRPr="00D66911" w:rsidRDefault="00D66911" w:rsidP="003C63D3">
      <w:pPr>
        <w:jc w:val="center"/>
        <w:rPr>
          <w:rFonts w:ascii="Arial" w:hAnsi="Arial" w:cs="Arial"/>
          <w:bCs/>
          <w:iCs/>
        </w:rPr>
      </w:pPr>
      <w:r>
        <w:rPr>
          <w:rFonts w:ascii="Arial" w:hAnsi="Arial" w:cs="Arial"/>
          <w:bCs/>
          <w:iCs/>
          <w:noProof/>
        </w:rPr>
        <w:drawing>
          <wp:inline distT="0" distB="0" distL="0" distR="0">
            <wp:extent cx="5850890" cy="4545330"/>
            <wp:effectExtent l="19050" t="0" r="0" b="0"/>
            <wp:docPr id="2" name="Obrázek 1" descr="E-odpoc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odpoci.JPG"/>
                    <pic:cNvPicPr/>
                  </pic:nvPicPr>
                  <pic:blipFill>
                    <a:blip r:embed="rId9" cstate="print"/>
                    <a:stretch>
                      <a:fillRect/>
                    </a:stretch>
                  </pic:blipFill>
                  <pic:spPr>
                    <a:xfrm>
                      <a:off x="0" y="0"/>
                      <a:ext cx="5850890" cy="4545330"/>
                    </a:xfrm>
                    <a:prstGeom prst="rect">
                      <a:avLst/>
                    </a:prstGeom>
                  </pic:spPr>
                </pic:pic>
              </a:graphicData>
            </a:graphic>
          </wp:inline>
        </w:drawing>
      </w:r>
    </w:p>
    <w:p w:rsidR="003C63D3" w:rsidRDefault="003C63D3" w:rsidP="003C63D3">
      <w:pPr>
        <w:jc w:val="both"/>
      </w:pPr>
    </w:p>
    <w:p w:rsidR="003C63D3" w:rsidRDefault="003C63D3" w:rsidP="003C63D3">
      <w:pPr>
        <w:jc w:val="both"/>
      </w:pPr>
    </w:p>
    <w:p w:rsidR="003C63D3" w:rsidRDefault="003C63D3" w:rsidP="003C63D3">
      <w:pPr>
        <w:jc w:val="both"/>
      </w:pPr>
    </w:p>
    <w:p w:rsidR="003C63D3" w:rsidRDefault="003C63D3" w:rsidP="003C63D3">
      <w:pPr>
        <w:jc w:val="both"/>
      </w:pPr>
    </w:p>
    <w:p w:rsidR="003C63D3" w:rsidRPr="00D66911" w:rsidRDefault="00B7662F" w:rsidP="003C63D3">
      <w:pPr>
        <w:jc w:val="both"/>
        <w:rPr>
          <w:rFonts w:ascii="Arial" w:hAnsi="Arial" w:cs="Arial"/>
          <w:b/>
        </w:rPr>
      </w:pPr>
      <w:r w:rsidRPr="00D66911">
        <w:rPr>
          <w:rFonts w:ascii="Arial" w:hAnsi="Arial" w:cs="Arial"/>
          <w:b/>
        </w:rPr>
        <w:t>4 PROVEDENÍ ZNAČKY</w:t>
      </w:r>
    </w:p>
    <w:p w:rsidR="003C63D3" w:rsidRPr="00D66911" w:rsidRDefault="003C63D3" w:rsidP="003C63D3">
      <w:pPr>
        <w:jc w:val="both"/>
        <w:rPr>
          <w:rFonts w:ascii="Arial" w:hAnsi="Arial" w:cs="Arial"/>
          <w:b/>
        </w:rPr>
      </w:pPr>
    </w:p>
    <w:p w:rsidR="003C63D3" w:rsidRPr="00D66911" w:rsidRDefault="003C63D3" w:rsidP="003C63D3">
      <w:pPr>
        <w:jc w:val="both"/>
        <w:rPr>
          <w:rFonts w:ascii="Arial" w:hAnsi="Arial" w:cs="Arial"/>
          <w:b/>
        </w:rPr>
      </w:pPr>
      <w:r w:rsidRPr="00D66911">
        <w:rPr>
          <w:rFonts w:ascii="Arial" w:hAnsi="Arial" w:cs="Arial"/>
          <w:b/>
        </w:rPr>
        <w:t>4.1 Užití symbolů značek</w:t>
      </w:r>
    </w:p>
    <w:p w:rsidR="003C63D3" w:rsidRPr="00D66911" w:rsidRDefault="003C63D3" w:rsidP="003C63D3">
      <w:pPr>
        <w:jc w:val="both"/>
        <w:rPr>
          <w:rFonts w:ascii="Arial" w:hAnsi="Arial" w:cs="Arial"/>
          <w:b/>
        </w:rPr>
      </w:pPr>
    </w:p>
    <w:p w:rsidR="003C63D3" w:rsidRPr="00D66911" w:rsidRDefault="003C63D3" w:rsidP="00D66911">
      <w:pPr>
        <w:jc w:val="both"/>
        <w:rPr>
          <w:rFonts w:ascii="Arial" w:hAnsi="Arial" w:cs="Arial"/>
          <w:sz w:val="20"/>
          <w:szCs w:val="20"/>
        </w:rPr>
      </w:pPr>
      <w:r w:rsidRPr="00D66911">
        <w:rPr>
          <w:rFonts w:ascii="Arial" w:hAnsi="Arial" w:cs="Arial"/>
          <w:sz w:val="20"/>
          <w:szCs w:val="20"/>
        </w:rPr>
        <w:t>Při označení více druhů služeb se pro označení užívá tabule s uvedením symbolů příslušných značek. Taková značka pak má charakter velkoplošné značky ODZ.</w:t>
      </w:r>
    </w:p>
    <w:p w:rsidR="003C63D3" w:rsidRPr="00D66911" w:rsidRDefault="003C63D3" w:rsidP="003C63D3">
      <w:pPr>
        <w:numPr>
          <w:ilvl w:val="12"/>
          <w:numId w:val="0"/>
        </w:numPr>
        <w:ind w:left="283" w:hanging="283"/>
        <w:jc w:val="both"/>
        <w:rPr>
          <w:rFonts w:ascii="Arial" w:hAnsi="Arial" w:cs="Arial"/>
        </w:rPr>
      </w:pPr>
    </w:p>
    <w:p w:rsidR="003C63D3" w:rsidRPr="00D66911" w:rsidRDefault="003C63D3" w:rsidP="00D66911">
      <w:pPr>
        <w:jc w:val="both"/>
        <w:rPr>
          <w:rFonts w:ascii="Arial" w:hAnsi="Arial" w:cs="Arial"/>
          <w:sz w:val="20"/>
          <w:szCs w:val="20"/>
        </w:rPr>
      </w:pPr>
      <w:r w:rsidRPr="00D66911">
        <w:rPr>
          <w:rFonts w:ascii="Arial" w:hAnsi="Arial" w:cs="Arial"/>
          <w:sz w:val="20"/>
          <w:szCs w:val="20"/>
        </w:rPr>
        <w:t xml:space="preserve">Posloupnost  symbolů na značce vychází z pořadí podle přílohy k vyhlášce č. 30/2001 Sb. </w:t>
      </w:r>
    </w:p>
    <w:p w:rsidR="003C63D3" w:rsidRPr="00D66911" w:rsidRDefault="003C63D3" w:rsidP="003C63D3">
      <w:pPr>
        <w:numPr>
          <w:ilvl w:val="12"/>
          <w:numId w:val="0"/>
        </w:numPr>
        <w:ind w:left="283" w:hanging="283"/>
        <w:jc w:val="both"/>
        <w:rPr>
          <w:rFonts w:ascii="Arial" w:hAnsi="Arial" w:cs="Arial"/>
        </w:rPr>
      </w:pPr>
    </w:p>
    <w:p w:rsidR="003C63D3" w:rsidRPr="00D66911" w:rsidRDefault="003C63D3" w:rsidP="00D66911">
      <w:pPr>
        <w:jc w:val="both"/>
        <w:rPr>
          <w:rFonts w:ascii="Arial" w:hAnsi="Arial" w:cs="Arial"/>
          <w:sz w:val="20"/>
          <w:szCs w:val="20"/>
        </w:rPr>
      </w:pPr>
      <w:r w:rsidRPr="00D66911">
        <w:rPr>
          <w:rFonts w:ascii="Arial" w:hAnsi="Arial" w:cs="Arial"/>
          <w:sz w:val="20"/>
          <w:szCs w:val="20"/>
        </w:rPr>
        <w:t>Při užití symbolů dvou nebo tří značek se tyto umísťují na tabuli v jedné řádce</w:t>
      </w:r>
      <w:r w:rsidR="00DD4066">
        <w:rPr>
          <w:rFonts w:ascii="Arial" w:hAnsi="Arial" w:cs="Arial"/>
          <w:sz w:val="20"/>
          <w:szCs w:val="20"/>
        </w:rPr>
        <w:t>.</w:t>
      </w:r>
    </w:p>
    <w:p w:rsidR="003C63D3" w:rsidRPr="00D66911" w:rsidRDefault="003C63D3" w:rsidP="003C63D3">
      <w:pPr>
        <w:numPr>
          <w:ilvl w:val="12"/>
          <w:numId w:val="0"/>
        </w:numPr>
        <w:ind w:left="283" w:hanging="283"/>
        <w:jc w:val="both"/>
        <w:rPr>
          <w:rFonts w:ascii="Arial" w:hAnsi="Arial" w:cs="Arial"/>
        </w:rPr>
      </w:pPr>
    </w:p>
    <w:p w:rsidR="003C63D3" w:rsidRPr="00D66911" w:rsidRDefault="003C63D3" w:rsidP="00D66911">
      <w:pPr>
        <w:jc w:val="both"/>
        <w:rPr>
          <w:sz w:val="20"/>
          <w:szCs w:val="20"/>
        </w:rPr>
      </w:pPr>
      <w:r w:rsidRPr="00D66911">
        <w:rPr>
          <w:rFonts w:ascii="Arial" w:hAnsi="Arial" w:cs="Arial"/>
          <w:sz w:val="20"/>
          <w:szCs w:val="20"/>
        </w:rPr>
        <w:t>Maximální počet symbolů na značce jsou čtyři a umí</w:t>
      </w:r>
      <w:r w:rsidR="00D66911">
        <w:rPr>
          <w:rFonts w:ascii="Arial" w:hAnsi="Arial" w:cs="Arial"/>
          <w:sz w:val="20"/>
          <w:szCs w:val="20"/>
        </w:rPr>
        <w:t>sťují se ve dvou řádcích</w:t>
      </w:r>
      <w:r w:rsidR="00DD4066">
        <w:rPr>
          <w:rFonts w:ascii="Arial" w:hAnsi="Arial" w:cs="Arial"/>
          <w:sz w:val="20"/>
          <w:szCs w:val="20"/>
        </w:rPr>
        <w:t>.</w:t>
      </w:r>
      <w:r w:rsidRPr="00D66911">
        <w:rPr>
          <w:rFonts w:ascii="Arial" w:hAnsi="Arial" w:cs="Arial"/>
          <w:sz w:val="20"/>
          <w:szCs w:val="20"/>
        </w:rPr>
        <w:t xml:space="preserve"> </w:t>
      </w:r>
    </w:p>
    <w:p w:rsidR="003C63D3" w:rsidRDefault="003C63D3" w:rsidP="003C63D3">
      <w:pPr>
        <w:jc w:val="both"/>
      </w:pPr>
    </w:p>
    <w:p w:rsidR="003C63D3" w:rsidRDefault="003C63D3" w:rsidP="003C63D3">
      <w:pPr>
        <w:jc w:val="both"/>
      </w:pPr>
    </w:p>
    <w:p w:rsidR="003C63D3" w:rsidRPr="00D66911" w:rsidRDefault="003C63D3" w:rsidP="003C63D3">
      <w:pPr>
        <w:jc w:val="both"/>
        <w:rPr>
          <w:rFonts w:ascii="Arial" w:hAnsi="Arial" w:cs="Arial"/>
          <w:b/>
        </w:rPr>
      </w:pPr>
      <w:r w:rsidRPr="00D66911">
        <w:rPr>
          <w:rFonts w:ascii="Arial" w:hAnsi="Arial" w:cs="Arial"/>
          <w:b/>
        </w:rPr>
        <w:t>4.2 Předběžné značky</w:t>
      </w:r>
    </w:p>
    <w:p w:rsidR="003C63D3" w:rsidRPr="00D66911" w:rsidRDefault="003C63D3" w:rsidP="003C63D3">
      <w:pPr>
        <w:jc w:val="both"/>
        <w:rPr>
          <w:rFonts w:ascii="Arial" w:hAnsi="Arial" w:cs="Arial"/>
          <w:b/>
        </w:rPr>
      </w:pPr>
    </w:p>
    <w:p w:rsidR="003C63D3" w:rsidRPr="00D66911" w:rsidRDefault="003C63D3" w:rsidP="003C63D3">
      <w:pPr>
        <w:jc w:val="both"/>
        <w:rPr>
          <w:rFonts w:ascii="Arial" w:hAnsi="Arial" w:cs="Arial"/>
          <w:b/>
          <w:sz w:val="22"/>
          <w:szCs w:val="22"/>
        </w:rPr>
      </w:pPr>
      <w:r w:rsidRPr="00D66911">
        <w:rPr>
          <w:rFonts w:ascii="Arial" w:hAnsi="Arial" w:cs="Arial"/>
          <w:b/>
          <w:sz w:val="22"/>
          <w:szCs w:val="22"/>
        </w:rPr>
        <w:t>4.2.1 Dálnice a SMV</w:t>
      </w:r>
    </w:p>
    <w:p w:rsidR="003C63D3" w:rsidRPr="00D66911" w:rsidRDefault="003C63D3" w:rsidP="003C63D3">
      <w:pPr>
        <w:jc w:val="both"/>
        <w:rPr>
          <w:rFonts w:ascii="Arial" w:hAnsi="Arial" w:cs="Arial"/>
          <w:b/>
        </w:rPr>
      </w:pPr>
    </w:p>
    <w:p w:rsidR="003C63D3" w:rsidRPr="00D66911" w:rsidRDefault="003C63D3" w:rsidP="00D66911">
      <w:pPr>
        <w:jc w:val="both"/>
        <w:rPr>
          <w:rFonts w:ascii="Arial" w:hAnsi="Arial" w:cs="Arial"/>
          <w:sz w:val="20"/>
          <w:szCs w:val="20"/>
        </w:rPr>
      </w:pPr>
      <w:r w:rsidRPr="00D66911">
        <w:rPr>
          <w:rFonts w:ascii="Arial" w:hAnsi="Arial" w:cs="Arial"/>
          <w:sz w:val="20"/>
          <w:szCs w:val="20"/>
        </w:rPr>
        <w:lastRenderedPageBreak/>
        <w:t>První informace o parkovišti nebo odpočívce se uvádí na značce umístěné ve vzdálenosti 2000 m před začátkem náběhového klínu odbočovacího pruhu. Údaj o vzdálenosti se uvádí ve spodní části značky. Značku lze umístit s tolerancí do 100 m. Pokud v konkrétním případě nelze toto rozpětí umístění dodržet, vyznačí se skutečná vzdálenost se zaokrouhlením na stovky metrů.</w:t>
      </w:r>
    </w:p>
    <w:p w:rsidR="003C63D3" w:rsidRPr="00D66911" w:rsidRDefault="003C63D3" w:rsidP="003C63D3">
      <w:pPr>
        <w:numPr>
          <w:ilvl w:val="12"/>
          <w:numId w:val="0"/>
        </w:numPr>
        <w:ind w:left="283" w:hanging="283"/>
        <w:jc w:val="both"/>
        <w:rPr>
          <w:rFonts w:ascii="Arial" w:hAnsi="Arial" w:cs="Arial"/>
        </w:rPr>
      </w:pPr>
    </w:p>
    <w:p w:rsidR="003C63D3" w:rsidRPr="00D66911" w:rsidRDefault="003C63D3" w:rsidP="00D66911">
      <w:pPr>
        <w:jc w:val="both"/>
        <w:rPr>
          <w:rFonts w:ascii="Arial" w:hAnsi="Arial" w:cs="Arial"/>
          <w:sz w:val="20"/>
          <w:szCs w:val="20"/>
        </w:rPr>
      </w:pPr>
      <w:r w:rsidRPr="00D66911">
        <w:rPr>
          <w:rFonts w:ascii="Arial" w:hAnsi="Arial" w:cs="Arial"/>
          <w:sz w:val="20"/>
          <w:szCs w:val="20"/>
        </w:rPr>
        <w:t xml:space="preserve">Druhá informace se uvádí na značce umístěné ve vzdálenosti 500 m před začátkem náběhového klínu odbočovacího pruhu. Údaj o vzdálenosti se uvádí ve spodní části značky. Značku lze umístit s tolerancí do 100 m. Pokud v konkrétním případě nelze toto rozpětí umístění dodržet, vyznačí se skutečná vzdálenost se zaokrouhlením na stovky metrů. </w:t>
      </w:r>
    </w:p>
    <w:p w:rsidR="003C63D3" w:rsidRPr="00D66911" w:rsidRDefault="003C63D3" w:rsidP="003C63D3">
      <w:pPr>
        <w:numPr>
          <w:ilvl w:val="12"/>
          <w:numId w:val="0"/>
        </w:numPr>
        <w:ind w:left="283" w:hanging="283"/>
        <w:jc w:val="both"/>
        <w:rPr>
          <w:rFonts w:ascii="Arial" w:hAnsi="Arial" w:cs="Arial"/>
        </w:rPr>
      </w:pPr>
    </w:p>
    <w:p w:rsidR="003C63D3" w:rsidRPr="00D66911" w:rsidRDefault="003C63D3" w:rsidP="00D66911">
      <w:pPr>
        <w:jc w:val="both"/>
        <w:rPr>
          <w:rFonts w:ascii="Arial" w:hAnsi="Arial" w:cs="Arial"/>
          <w:b/>
          <w:sz w:val="20"/>
          <w:szCs w:val="20"/>
        </w:rPr>
      </w:pPr>
      <w:r w:rsidRPr="00D66911">
        <w:rPr>
          <w:rFonts w:ascii="Arial" w:hAnsi="Arial" w:cs="Arial"/>
          <w:sz w:val="20"/>
          <w:szCs w:val="20"/>
        </w:rPr>
        <w:t>Třetí informace se uvádí na značce umístěné na úrovni začátku klínu odbočovacího pruhu. Ve spodní části značky se uvádí šikmá šipka. Značku lze umístit s tolerancí do 5 m.</w:t>
      </w:r>
    </w:p>
    <w:p w:rsidR="003C63D3" w:rsidRPr="00D66911" w:rsidRDefault="003C63D3" w:rsidP="003C63D3">
      <w:pPr>
        <w:numPr>
          <w:ilvl w:val="12"/>
          <w:numId w:val="0"/>
        </w:numPr>
        <w:ind w:left="283" w:hanging="283"/>
        <w:jc w:val="both"/>
        <w:rPr>
          <w:rFonts w:ascii="Arial" w:hAnsi="Arial" w:cs="Arial"/>
          <w:b/>
        </w:rPr>
      </w:pPr>
    </w:p>
    <w:p w:rsidR="003C63D3" w:rsidRPr="00D66911" w:rsidRDefault="003C63D3" w:rsidP="00D66911">
      <w:pPr>
        <w:jc w:val="both"/>
        <w:rPr>
          <w:rFonts w:ascii="Arial" w:hAnsi="Arial" w:cs="Arial"/>
          <w:b/>
          <w:sz w:val="20"/>
          <w:szCs w:val="20"/>
        </w:rPr>
      </w:pPr>
      <w:r w:rsidRPr="00D66911">
        <w:rPr>
          <w:rFonts w:ascii="Arial" w:hAnsi="Arial" w:cs="Arial"/>
          <w:sz w:val="20"/>
          <w:szCs w:val="20"/>
        </w:rPr>
        <w:t>Poslední informace a směr odbočení se uvádí na značce umístěné v klínu rozštěpu mezi průběžným pruhem a vjezdem na parkoviště nebo odpočívku. Ve spodní části se uvádí vodorovná šipka.</w:t>
      </w:r>
    </w:p>
    <w:p w:rsidR="003C63D3" w:rsidRPr="00D66911" w:rsidRDefault="003C63D3" w:rsidP="003C63D3">
      <w:pPr>
        <w:jc w:val="both"/>
        <w:rPr>
          <w:rFonts w:ascii="Arial" w:hAnsi="Arial" w:cs="Arial"/>
        </w:rPr>
      </w:pPr>
    </w:p>
    <w:p w:rsidR="003C63D3" w:rsidRPr="00D66911" w:rsidRDefault="00D66911" w:rsidP="003C63D3">
      <w:pPr>
        <w:jc w:val="both"/>
        <w:rPr>
          <w:b/>
          <w:i/>
          <w:sz w:val="20"/>
          <w:szCs w:val="20"/>
        </w:rPr>
      </w:pPr>
      <w:r w:rsidRPr="00D66911">
        <w:rPr>
          <w:rFonts w:ascii="Arial" w:hAnsi="Arial" w:cs="Arial"/>
          <w:sz w:val="20"/>
          <w:szCs w:val="20"/>
        </w:rPr>
        <w:t>P</w:t>
      </w:r>
      <w:r w:rsidR="003C63D3" w:rsidRPr="00D66911">
        <w:rPr>
          <w:rFonts w:ascii="Arial" w:hAnsi="Arial" w:cs="Arial"/>
          <w:sz w:val="20"/>
          <w:szCs w:val="20"/>
        </w:rPr>
        <w:t>říklady provedení značek a jejich umístění jsou uvedeny na obr. č. až  č..</w:t>
      </w:r>
    </w:p>
    <w:p w:rsidR="003C63D3" w:rsidRPr="00DD4066" w:rsidRDefault="003C63D3" w:rsidP="003C63D3">
      <w:pPr>
        <w:jc w:val="both"/>
        <w:rPr>
          <w:rFonts w:ascii="Arial" w:hAnsi="Arial" w:cs="Arial"/>
        </w:rPr>
      </w:pPr>
    </w:p>
    <w:p w:rsidR="003C63D3" w:rsidRPr="00DD4066" w:rsidRDefault="00DD4066" w:rsidP="00DD4066">
      <w:pPr>
        <w:jc w:val="center"/>
        <w:rPr>
          <w:rFonts w:ascii="Arial" w:hAnsi="Arial" w:cs="Arial"/>
        </w:rPr>
      </w:pPr>
      <w:r>
        <w:rPr>
          <w:rFonts w:ascii="Arial" w:hAnsi="Arial" w:cs="Arial"/>
          <w:noProof/>
        </w:rPr>
        <w:drawing>
          <wp:inline distT="0" distB="0" distL="0" distR="0">
            <wp:extent cx="1840992" cy="2313432"/>
            <wp:effectExtent l="19050" t="0" r="6858" b="0"/>
            <wp:docPr id="3" name="Obrázek 2" descr="obr.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78.jpg"/>
                    <pic:cNvPicPr/>
                  </pic:nvPicPr>
                  <pic:blipFill>
                    <a:blip r:embed="rId10" cstate="print"/>
                    <a:stretch>
                      <a:fillRect/>
                    </a:stretch>
                  </pic:blipFill>
                  <pic:spPr>
                    <a:xfrm>
                      <a:off x="0" y="0"/>
                      <a:ext cx="1840992" cy="2313432"/>
                    </a:xfrm>
                    <a:prstGeom prst="rect">
                      <a:avLst/>
                    </a:prstGeom>
                  </pic:spPr>
                </pic:pic>
              </a:graphicData>
            </a:graphic>
          </wp:inline>
        </w:drawing>
      </w:r>
    </w:p>
    <w:p w:rsidR="003C63D3" w:rsidRPr="00DD4066" w:rsidRDefault="003C63D3" w:rsidP="003C63D3">
      <w:pPr>
        <w:jc w:val="both"/>
        <w:rPr>
          <w:rFonts w:ascii="Arial" w:hAnsi="Arial" w:cs="Arial"/>
        </w:rPr>
      </w:pPr>
    </w:p>
    <w:p w:rsidR="003C63D3" w:rsidRDefault="003C63D3" w:rsidP="003C63D3">
      <w:pPr>
        <w:jc w:val="both"/>
        <w:rPr>
          <w:rFonts w:ascii="Arial" w:hAnsi="Arial" w:cs="Arial"/>
        </w:rPr>
      </w:pPr>
    </w:p>
    <w:p w:rsidR="00DD4066" w:rsidRDefault="00DD4066" w:rsidP="003C63D3">
      <w:pPr>
        <w:jc w:val="both"/>
        <w:rPr>
          <w:rFonts w:ascii="Arial" w:hAnsi="Arial" w:cs="Arial"/>
        </w:rPr>
      </w:pPr>
    </w:p>
    <w:p w:rsidR="00DD4066" w:rsidRDefault="00DD4066" w:rsidP="003C63D3">
      <w:pPr>
        <w:jc w:val="both"/>
        <w:rPr>
          <w:rFonts w:ascii="Arial" w:hAnsi="Arial" w:cs="Arial"/>
        </w:rPr>
      </w:pPr>
    </w:p>
    <w:p w:rsidR="00DD4066" w:rsidRDefault="00DD4066" w:rsidP="003C63D3">
      <w:pPr>
        <w:jc w:val="both"/>
        <w:rPr>
          <w:rFonts w:ascii="Arial" w:hAnsi="Arial" w:cs="Arial"/>
        </w:rPr>
      </w:pPr>
    </w:p>
    <w:p w:rsidR="00DD4066" w:rsidRDefault="00DD4066" w:rsidP="003C63D3">
      <w:pPr>
        <w:jc w:val="both"/>
        <w:rPr>
          <w:rFonts w:ascii="Arial" w:hAnsi="Arial" w:cs="Arial"/>
        </w:rPr>
      </w:pPr>
    </w:p>
    <w:p w:rsidR="00DD4066" w:rsidRDefault="00DD4066" w:rsidP="003C63D3">
      <w:pPr>
        <w:jc w:val="both"/>
        <w:rPr>
          <w:rFonts w:ascii="Arial" w:hAnsi="Arial" w:cs="Arial"/>
        </w:rPr>
      </w:pPr>
    </w:p>
    <w:p w:rsidR="00DD4066" w:rsidRDefault="00DD4066" w:rsidP="003C63D3">
      <w:pPr>
        <w:jc w:val="both"/>
        <w:rPr>
          <w:rFonts w:ascii="Arial" w:hAnsi="Arial" w:cs="Arial"/>
        </w:rPr>
      </w:pPr>
    </w:p>
    <w:p w:rsidR="00DD4066" w:rsidRDefault="00DD4066" w:rsidP="003C63D3">
      <w:pPr>
        <w:jc w:val="both"/>
        <w:rPr>
          <w:rFonts w:ascii="Arial" w:hAnsi="Arial" w:cs="Arial"/>
        </w:rPr>
      </w:pPr>
    </w:p>
    <w:p w:rsidR="00DD4066" w:rsidRDefault="00DD4066" w:rsidP="003C63D3">
      <w:pPr>
        <w:jc w:val="both"/>
        <w:rPr>
          <w:rFonts w:ascii="Arial" w:hAnsi="Arial" w:cs="Arial"/>
        </w:rPr>
      </w:pPr>
    </w:p>
    <w:p w:rsidR="00DD4066" w:rsidRDefault="00DD4066" w:rsidP="003C63D3">
      <w:pPr>
        <w:jc w:val="both"/>
        <w:rPr>
          <w:rFonts w:ascii="Arial" w:hAnsi="Arial" w:cs="Arial"/>
        </w:rPr>
      </w:pPr>
    </w:p>
    <w:p w:rsidR="00DD4066" w:rsidRDefault="00DD4066" w:rsidP="003C63D3">
      <w:pPr>
        <w:jc w:val="both"/>
        <w:rPr>
          <w:rFonts w:ascii="Arial" w:hAnsi="Arial" w:cs="Arial"/>
        </w:rPr>
      </w:pPr>
    </w:p>
    <w:p w:rsidR="00DD4066" w:rsidRDefault="00DD4066" w:rsidP="003C63D3">
      <w:pPr>
        <w:jc w:val="both"/>
        <w:rPr>
          <w:rFonts w:ascii="Arial" w:hAnsi="Arial" w:cs="Arial"/>
        </w:rPr>
      </w:pPr>
    </w:p>
    <w:p w:rsidR="00DD4066" w:rsidRDefault="00DD4066" w:rsidP="003C63D3">
      <w:pPr>
        <w:jc w:val="both"/>
        <w:rPr>
          <w:rFonts w:ascii="Arial" w:hAnsi="Arial" w:cs="Arial"/>
        </w:rPr>
      </w:pPr>
    </w:p>
    <w:p w:rsidR="00DD4066" w:rsidRDefault="00DD4066" w:rsidP="003C63D3">
      <w:pPr>
        <w:jc w:val="both"/>
        <w:rPr>
          <w:rFonts w:ascii="Arial" w:hAnsi="Arial" w:cs="Arial"/>
        </w:rPr>
      </w:pPr>
    </w:p>
    <w:p w:rsidR="00DD4066" w:rsidRDefault="00DD4066" w:rsidP="003C63D3">
      <w:pPr>
        <w:jc w:val="both"/>
        <w:rPr>
          <w:rFonts w:ascii="Arial" w:hAnsi="Arial" w:cs="Arial"/>
        </w:rPr>
      </w:pPr>
    </w:p>
    <w:p w:rsidR="00DD4066" w:rsidRDefault="00DD4066" w:rsidP="003C63D3">
      <w:pPr>
        <w:jc w:val="both"/>
        <w:rPr>
          <w:rFonts w:ascii="Arial" w:hAnsi="Arial" w:cs="Arial"/>
        </w:rPr>
      </w:pPr>
    </w:p>
    <w:p w:rsidR="00DD4066" w:rsidRDefault="00DD4066" w:rsidP="003C63D3">
      <w:pPr>
        <w:jc w:val="both"/>
        <w:rPr>
          <w:rFonts w:ascii="Arial" w:hAnsi="Arial" w:cs="Arial"/>
        </w:rPr>
      </w:pPr>
    </w:p>
    <w:p w:rsidR="00DD4066" w:rsidRDefault="00DD4066" w:rsidP="003C63D3">
      <w:pPr>
        <w:jc w:val="both"/>
        <w:rPr>
          <w:rFonts w:ascii="Arial" w:hAnsi="Arial" w:cs="Arial"/>
        </w:rPr>
      </w:pPr>
    </w:p>
    <w:p w:rsidR="00DD4066" w:rsidRDefault="00DD4066" w:rsidP="003C63D3">
      <w:pPr>
        <w:jc w:val="both"/>
        <w:rPr>
          <w:rFonts w:ascii="Arial" w:hAnsi="Arial" w:cs="Arial"/>
        </w:rPr>
      </w:pPr>
    </w:p>
    <w:p w:rsidR="00DD4066" w:rsidRDefault="00DD4066" w:rsidP="003C63D3">
      <w:pPr>
        <w:jc w:val="both"/>
        <w:rPr>
          <w:rFonts w:ascii="Arial" w:hAnsi="Arial" w:cs="Arial"/>
        </w:rPr>
      </w:pPr>
    </w:p>
    <w:p w:rsidR="00DD4066" w:rsidRDefault="00DD4066" w:rsidP="00DD4066">
      <w:pPr>
        <w:jc w:val="center"/>
        <w:rPr>
          <w:rFonts w:ascii="Arial" w:hAnsi="Arial" w:cs="Arial"/>
        </w:rPr>
      </w:pPr>
      <w:r>
        <w:rPr>
          <w:rFonts w:ascii="Arial" w:hAnsi="Arial" w:cs="Arial"/>
          <w:noProof/>
        </w:rPr>
        <w:lastRenderedPageBreak/>
        <w:drawing>
          <wp:inline distT="0" distB="0" distL="0" distR="0">
            <wp:extent cx="3251200" cy="9072880"/>
            <wp:effectExtent l="19050" t="0" r="6350" b="0"/>
            <wp:docPr id="4" name="Obrázek 3" descr="obr.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79.jpg"/>
                    <pic:cNvPicPr/>
                  </pic:nvPicPr>
                  <pic:blipFill>
                    <a:blip r:embed="rId11" cstate="print"/>
                    <a:stretch>
                      <a:fillRect/>
                    </a:stretch>
                  </pic:blipFill>
                  <pic:spPr>
                    <a:xfrm>
                      <a:off x="0" y="0"/>
                      <a:ext cx="3251200" cy="9072880"/>
                    </a:xfrm>
                    <a:prstGeom prst="rect">
                      <a:avLst/>
                    </a:prstGeom>
                  </pic:spPr>
                </pic:pic>
              </a:graphicData>
            </a:graphic>
          </wp:inline>
        </w:drawing>
      </w:r>
    </w:p>
    <w:p w:rsidR="00DD4066" w:rsidRDefault="00DD4066" w:rsidP="003C63D3">
      <w:pPr>
        <w:jc w:val="both"/>
        <w:rPr>
          <w:rFonts w:ascii="Arial" w:hAnsi="Arial" w:cs="Arial"/>
          <w:sz w:val="20"/>
          <w:szCs w:val="20"/>
        </w:rPr>
      </w:pPr>
    </w:p>
    <w:p w:rsidR="00DD4066" w:rsidRDefault="00DD4066" w:rsidP="00DD4066">
      <w:pPr>
        <w:jc w:val="center"/>
        <w:rPr>
          <w:rFonts w:ascii="Arial" w:hAnsi="Arial" w:cs="Arial"/>
          <w:sz w:val="20"/>
          <w:szCs w:val="20"/>
        </w:rPr>
      </w:pPr>
      <w:r>
        <w:rPr>
          <w:rFonts w:ascii="Arial" w:hAnsi="Arial" w:cs="Arial"/>
          <w:noProof/>
          <w:sz w:val="20"/>
          <w:szCs w:val="20"/>
        </w:rPr>
        <w:drawing>
          <wp:inline distT="0" distB="0" distL="0" distR="0">
            <wp:extent cx="2307336" cy="6053328"/>
            <wp:effectExtent l="19050" t="0" r="0" b="0"/>
            <wp:docPr id="5" name="Obrázek 4" descr="obr.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80.jpg"/>
                    <pic:cNvPicPr/>
                  </pic:nvPicPr>
                  <pic:blipFill>
                    <a:blip r:embed="rId12" cstate="print"/>
                    <a:stretch>
                      <a:fillRect/>
                    </a:stretch>
                  </pic:blipFill>
                  <pic:spPr>
                    <a:xfrm>
                      <a:off x="0" y="0"/>
                      <a:ext cx="2307336" cy="6053328"/>
                    </a:xfrm>
                    <a:prstGeom prst="rect">
                      <a:avLst/>
                    </a:prstGeom>
                  </pic:spPr>
                </pic:pic>
              </a:graphicData>
            </a:graphic>
          </wp:inline>
        </w:drawing>
      </w:r>
    </w:p>
    <w:p w:rsidR="00DD4066" w:rsidRDefault="00DD4066" w:rsidP="003C63D3">
      <w:pPr>
        <w:jc w:val="both"/>
        <w:rPr>
          <w:rFonts w:ascii="Arial" w:hAnsi="Arial" w:cs="Arial"/>
          <w:sz w:val="20"/>
          <w:szCs w:val="20"/>
        </w:rPr>
      </w:pPr>
    </w:p>
    <w:p w:rsidR="00DD4066" w:rsidRDefault="00DD4066" w:rsidP="003C63D3">
      <w:pPr>
        <w:jc w:val="both"/>
        <w:rPr>
          <w:rFonts w:ascii="Arial" w:hAnsi="Arial" w:cs="Arial"/>
          <w:sz w:val="20"/>
          <w:szCs w:val="20"/>
        </w:rPr>
      </w:pPr>
    </w:p>
    <w:p w:rsidR="00DD4066" w:rsidRDefault="00DD4066" w:rsidP="003C63D3">
      <w:pPr>
        <w:jc w:val="both"/>
        <w:rPr>
          <w:rFonts w:ascii="Arial" w:hAnsi="Arial" w:cs="Arial"/>
          <w:sz w:val="20"/>
          <w:szCs w:val="20"/>
        </w:rPr>
      </w:pPr>
      <w:r w:rsidRPr="00D66911">
        <w:rPr>
          <w:rFonts w:ascii="Arial" w:hAnsi="Arial" w:cs="Arial"/>
          <w:sz w:val="20"/>
          <w:szCs w:val="20"/>
        </w:rPr>
        <w:t>V případě, že následující odpočívka s obslužným zařízením je vzdálena více než 25 km, lze uvést informaci o obou obslužných zařízení</w:t>
      </w:r>
      <w:r>
        <w:rPr>
          <w:rFonts w:ascii="Arial" w:hAnsi="Arial" w:cs="Arial"/>
          <w:sz w:val="20"/>
          <w:szCs w:val="20"/>
        </w:rPr>
        <w:t>ch</w:t>
      </w:r>
      <w:r w:rsidRPr="00D66911">
        <w:rPr>
          <w:rFonts w:ascii="Arial" w:hAnsi="Arial" w:cs="Arial"/>
          <w:sz w:val="20"/>
          <w:szCs w:val="20"/>
        </w:rPr>
        <w:t xml:space="preserve"> (obr.).</w:t>
      </w:r>
    </w:p>
    <w:p w:rsidR="00DD4066" w:rsidRPr="005E4D5D" w:rsidRDefault="00DD4066" w:rsidP="003C63D3">
      <w:pPr>
        <w:jc w:val="both"/>
        <w:rPr>
          <w:rFonts w:ascii="Arial" w:hAnsi="Arial" w:cs="Arial"/>
          <w:sz w:val="20"/>
          <w:szCs w:val="20"/>
        </w:rPr>
      </w:pPr>
    </w:p>
    <w:p w:rsidR="00DD4066" w:rsidRDefault="005E4D5D" w:rsidP="005E4D5D">
      <w:pPr>
        <w:jc w:val="center"/>
        <w:rPr>
          <w:rFonts w:ascii="Arial" w:hAnsi="Arial" w:cs="Arial"/>
        </w:rPr>
      </w:pPr>
      <w:r>
        <w:rPr>
          <w:rFonts w:ascii="Arial" w:hAnsi="Arial" w:cs="Arial"/>
          <w:noProof/>
        </w:rPr>
        <w:drawing>
          <wp:inline distT="0" distB="0" distL="0" distR="0">
            <wp:extent cx="1584960" cy="2127504"/>
            <wp:effectExtent l="19050" t="0" r="0" b="0"/>
            <wp:docPr id="6" name="Obrázek 5" descr="obr.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81.jpg"/>
                    <pic:cNvPicPr/>
                  </pic:nvPicPr>
                  <pic:blipFill>
                    <a:blip r:embed="rId13" cstate="print"/>
                    <a:stretch>
                      <a:fillRect/>
                    </a:stretch>
                  </pic:blipFill>
                  <pic:spPr>
                    <a:xfrm>
                      <a:off x="0" y="0"/>
                      <a:ext cx="1584960" cy="2127504"/>
                    </a:xfrm>
                    <a:prstGeom prst="rect">
                      <a:avLst/>
                    </a:prstGeom>
                  </pic:spPr>
                </pic:pic>
              </a:graphicData>
            </a:graphic>
          </wp:inline>
        </w:drawing>
      </w:r>
    </w:p>
    <w:p w:rsidR="005E4D5D" w:rsidRPr="005E4D5D" w:rsidRDefault="005E4D5D" w:rsidP="003C63D3">
      <w:pPr>
        <w:jc w:val="both"/>
        <w:rPr>
          <w:rFonts w:ascii="Arial" w:hAnsi="Arial" w:cs="Arial"/>
        </w:rPr>
      </w:pPr>
    </w:p>
    <w:p w:rsidR="003C63D3" w:rsidRPr="005E4D5D" w:rsidRDefault="003C63D3" w:rsidP="003C63D3">
      <w:pPr>
        <w:jc w:val="both"/>
        <w:rPr>
          <w:rFonts w:ascii="Arial" w:hAnsi="Arial" w:cs="Arial"/>
          <w:b/>
          <w:sz w:val="22"/>
          <w:szCs w:val="22"/>
        </w:rPr>
      </w:pPr>
      <w:r w:rsidRPr="005E4D5D">
        <w:rPr>
          <w:rFonts w:ascii="Arial" w:hAnsi="Arial" w:cs="Arial"/>
          <w:b/>
          <w:sz w:val="22"/>
          <w:szCs w:val="22"/>
        </w:rPr>
        <w:t>4.2.2 Ostatní pozemní komunikace</w:t>
      </w:r>
    </w:p>
    <w:p w:rsidR="003C63D3" w:rsidRPr="005E4D5D" w:rsidRDefault="003C63D3" w:rsidP="003C63D3">
      <w:pPr>
        <w:jc w:val="both"/>
        <w:rPr>
          <w:rFonts w:ascii="Arial" w:hAnsi="Arial" w:cs="Arial"/>
          <w:b/>
        </w:rPr>
      </w:pPr>
    </w:p>
    <w:p w:rsidR="003C63D3" w:rsidRPr="005E4D5D" w:rsidRDefault="003C63D3" w:rsidP="005E4D5D">
      <w:pPr>
        <w:jc w:val="both"/>
        <w:rPr>
          <w:rFonts w:ascii="Arial" w:hAnsi="Arial" w:cs="Arial"/>
          <w:sz w:val="20"/>
          <w:szCs w:val="20"/>
        </w:rPr>
      </w:pPr>
      <w:r w:rsidRPr="005E4D5D">
        <w:rPr>
          <w:rFonts w:ascii="Arial" w:hAnsi="Arial" w:cs="Arial"/>
          <w:sz w:val="20"/>
          <w:szCs w:val="20"/>
        </w:rPr>
        <w:t xml:space="preserve">Na ostatních pozemních komunikacích se doporučuje označovat </w:t>
      </w:r>
      <w:r w:rsidR="005E4D5D">
        <w:rPr>
          <w:rFonts w:ascii="Arial" w:hAnsi="Arial" w:cs="Arial"/>
          <w:sz w:val="20"/>
          <w:szCs w:val="20"/>
        </w:rPr>
        <w:t xml:space="preserve">dopravně významné </w:t>
      </w:r>
      <w:r w:rsidRPr="005E4D5D">
        <w:rPr>
          <w:rFonts w:ascii="Arial" w:hAnsi="Arial" w:cs="Arial"/>
          <w:sz w:val="20"/>
          <w:szCs w:val="20"/>
        </w:rPr>
        <w:t>parkoviště nebo odpočívku obdobným způsobem jako na dálnici nebo SMV.</w:t>
      </w:r>
    </w:p>
    <w:p w:rsidR="003C63D3" w:rsidRPr="005E4D5D" w:rsidRDefault="003C63D3" w:rsidP="003C63D3">
      <w:pPr>
        <w:numPr>
          <w:ilvl w:val="12"/>
          <w:numId w:val="0"/>
        </w:numPr>
        <w:jc w:val="both"/>
        <w:rPr>
          <w:rFonts w:ascii="Arial" w:hAnsi="Arial" w:cs="Arial"/>
        </w:rPr>
      </w:pPr>
    </w:p>
    <w:p w:rsidR="003C63D3" w:rsidRDefault="003C63D3" w:rsidP="005E4D5D">
      <w:pPr>
        <w:jc w:val="both"/>
        <w:rPr>
          <w:rFonts w:ascii="Arial" w:hAnsi="Arial" w:cs="Arial"/>
          <w:sz w:val="20"/>
          <w:szCs w:val="20"/>
        </w:rPr>
      </w:pPr>
      <w:r w:rsidRPr="005E4D5D">
        <w:rPr>
          <w:rFonts w:ascii="Arial" w:hAnsi="Arial" w:cs="Arial"/>
          <w:sz w:val="20"/>
          <w:szCs w:val="20"/>
        </w:rPr>
        <w:t>Pro označení směru k parkovišti před odbočením k němu nebo před křižovatkou se silnicí k němu směřující se užívá značky č. IP 11a (případně její varianty) s dodatkovou tabulkou „Směrová šipka“ č. E 7b</w:t>
      </w:r>
      <w:r w:rsidR="005E4D5D">
        <w:rPr>
          <w:rFonts w:ascii="Arial" w:hAnsi="Arial" w:cs="Arial"/>
          <w:sz w:val="20"/>
          <w:szCs w:val="20"/>
        </w:rPr>
        <w:t xml:space="preserve"> (obr.)</w:t>
      </w:r>
      <w:r w:rsidRPr="005E4D5D">
        <w:rPr>
          <w:rFonts w:ascii="Arial" w:hAnsi="Arial" w:cs="Arial"/>
          <w:sz w:val="20"/>
          <w:szCs w:val="20"/>
        </w:rPr>
        <w:t>.</w:t>
      </w:r>
    </w:p>
    <w:p w:rsidR="0022411E" w:rsidRDefault="0022411E" w:rsidP="005E4D5D">
      <w:pPr>
        <w:jc w:val="both"/>
        <w:rPr>
          <w:rFonts w:ascii="Arial" w:hAnsi="Arial" w:cs="Arial"/>
          <w:sz w:val="20"/>
          <w:szCs w:val="20"/>
        </w:rPr>
      </w:pPr>
    </w:p>
    <w:p w:rsidR="0022411E" w:rsidRDefault="0022411E" w:rsidP="0022411E">
      <w:pPr>
        <w:jc w:val="center"/>
        <w:rPr>
          <w:rFonts w:ascii="Arial" w:hAnsi="Arial" w:cs="Arial"/>
          <w:sz w:val="20"/>
          <w:szCs w:val="20"/>
        </w:rPr>
      </w:pPr>
      <w:r>
        <w:rPr>
          <w:rFonts w:ascii="Arial" w:hAnsi="Arial" w:cs="Arial"/>
          <w:noProof/>
          <w:sz w:val="20"/>
          <w:szCs w:val="20"/>
        </w:rPr>
        <w:drawing>
          <wp:inline distT="0" distB="0" distL="0" distR="0">
            <wp:extent cx="740664" cy="1496568"/>
            <wp:effectExtent l="19050" t="0" r="2286" b="0"/>
            <wp:docPr id="7" name="Obrázek 6" descr="obr.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82.jpg"/>
                    <pic:cNvPicPr/>
                  </pic:nvPicPr>
                  <pic:blipFill>
                    <a:blip r:embed="rId14" cstate="print"/>
                    <a:stretch>
                      <a:fillRect/>
                    </a:stretch>
                  </pic:blipFill>
                  <pic:spPr>
                    <a:xfrm>
                      <a:off x="0" y="0"/>
                      <a:ext cx="740664" cy="1496568"/>
                    </a:xfrm>
                    <a:prstGeom prst="rect">
                      <a:avLst/>
                    </a:prstGeom>
                  </pic:spPr>
                </pic:pic>
              </a:graphicData>
            </a:graphic>
          </wp:inline>
        </w:drawing>
      </w:r>
    </w:p>
    <w:p w:rsidR="0022411E" w:rsidRDefault="0022411E" w:rsidP="005E4D5D">
      <w:pPr>
        <w:jc w:val="both"/>
        <w:rPr>
          <w:rFonts w:ascii="Arial" w:hAnsi="Arial" w:cs="Arial"/>
          <w:sz w:val="20"/>
          <w:szCs w:val="20"/>
        </w:rPr>
      </w:pPr>
    </w:p>
    <w:p w:rsidR="005E4D5D" w:rsidRPr="005E4D5D" w:rsidRDefault="005E4D5D" w:rsidP="005E4D5D">
      <w:pPr>
        <w:jc w:val="both"/>
        <w:rPr>
          <w:rFonts w:ascii="Arial" w:hAnsi="Arial" w:cs="Arial"/>
          <w:sz w:val="20"/>
          <w:szCs w:val="20"/>
        </w:rPr>
      </w:pPr>
      <w:r>
        <w:rPr>
          <w:rFonts w:ascii="Arial" w:hAnsi="Arial" w:cs="Arial"/>
          <w:sz w:val="20"/>
          <w:szCs w:val="20"/>
        </w:rPr>
        <w:t>První informace o parkovišti se uvádí zpravidla na značce umístěné ve vzdálenosti 500 m. Údaj o vzdálenosti se uvádí ve spodní části značky nebo na dodatkové tabulce č. E 3a (obr.).</w:t>
      </w:r>
    </w:p>
    <w:p w:rsidR="003C63D3" w:rsidRDefault="003C63D3" w:rsidP="003C63D3">
      <w:pPr>
        <w:numPr>
          <w:ilvl w:val="12"/>
          <w:numId w:val="0"/>
        </w:numPr>
        <w:ind w:left="283" w:hanging="283"/>
        <w:jc w:val="both"/>
        <w:rPr>
          <w:rFonts w:ascii="Arial" w:hAnsi="Arial" w:cs="Arial"/>
        </w:rPr>
      </w:pPr>
    </w:p>
    <w:p w:rsidR="0022411E" w:rsidRDefault="0022411E" w:rsidP="0022411E">
      <w:pPr>
        <w:numPr>
          <w:ilvl w:val="12"/>
          <w:numId w:val="0"/>
        </w:numPr>
        <w:ind w:left="283" w:hanging="283"/>
        <w:jc w:val="center"/>
        <w:rPr>
          <w:rFonts w:ascii="Arial" w:hAnsi="Arial" w:cs="Arial"/>
        </w:rPr>
      </w:pPr>
      <w:r>
        <w:rPr>
          <w:rFonts w:ascii="Arial" w:hAnsi="Arial" w:cs="Arial"/>
          <w:noProof/>
        </w:rPr>
        <w:drawing>
          <wp:inline distT="0" distB="0" distL="0" distR="0">
            <wp:extent cx="2008632" cy="1331976"/>
            <wp:effectExtent l="19050" t="0" r="0" b="0"/>
            <wp:docPr id="8" name="Obrázek 7" descr="obr.8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82a.jpg"/>
                    <pic:cNvPicPr/>
                  </pic:nvPicPr>
                  <pic:blipFill>
                    <a:blip r:embed="rId15" cstate="print"/>
                    <a:stretch>
                      <a:fillRect/>
                    </a:stretch>
                  </pic:blipFill>
                  <pic:spPr>
                    <a:xfrm>
                      <a:off x="0" y="0"/>
                      <a:ext cx="2008632" cy="1331976"/>
                    </a:xfrm>
                    <a:prstGeom prst="rect">
                      <a:avLst/>
                    </a:prstGeom>
                  </pic:spPr>
                </pic:pic>
              </a:graphicData>
            </a:graphic>
          </wp:inline>
        </w:drawing>
      </w:r>
    </w:p>
    <w:p w:rsidR="0022411E" w:rsidRPr="005E4D5D" w:rsidRDefault="0022411E" w:rsidP="003C63D3">
      <w:pPr>
        <w:numPr>
          <w:ilvl w:val="12"/>
          <w:numId w:val="0"/>
        </w:numPr>
        <w:ind w:left="283" w:hanging="283"/>
        <w:jc w:val="both"/>
        <w:rPr>
          <w:rFonts w:ascii="Arial" w:hAnsi="Arial" w:cs="Arial"/>
        </w:rPr>
      </w:pPr>
    </w:p>
    <w:p w:rsidR="003C63D3" w:rsidRPr="005E4D5D" w:rsidRDefault="003C63D3" w:rsidP="005E4D5D">
      <w:pPr>
        <w:jc w:val="both"/>
        <w:rPr>
          <w:sz w:val="20"/>
          <w:szCs w:val="20"/>
        </w:rPr>
      </w:pPr>
      <w:r w:rsidRPr="005E4D5D">
        <w:rPr>
          <w:rFonts w:ascii="Arial" w:hAnsi="Arial" w:cs="Arial"/>
          <w:sz w:val="20"/>
          <w:szCs w:val="20"/>
        </w:rPr>
        <w:t xml:space="preserve">Užití jednotlivých značek pro označení parkoviště nebo služeb a jejich provedení </w:t>
      </w:r>
      <w:r w:rsidR="005E4D5D">
        <w:rPr>
          <w:rFonts w:ascii="Arial" w:hAnsi="Arial" w:cs="Arial"/>
          <w:sz w:val="20"/>
          <w:szCs w:val="20"/>
        </w:rPr>
        <w:t>uprav</w:t>
      </w:r>
      <w:r w:rsidRPr="005E4D5D">
        <w:rPr>
          <w:rFonts w:ascii="Arial" w:hAnsi="Arial" w:cs="Arial"/>
          <w:sz w:val="20"/>
          <w:szCs w:val="20"/>
        </w:rPr>
        <w:t>ují TP 65.</w:t>
      </w:r>
    </w:p>
    <w:p w:rsidR="003C63D3" w:rsidRDefault="003C63D3" w:rsidP="003C63D3">
      <w:pPr>
        <w:jc w:val="both"/>
        <w:rPr>
          <w:b/>
        </w:rPr>
      </w:pPr>
    </w:p>
    <w:p w:rsidR="003C63D3" w:rsidRDefault="003C63D3" w:rsidP="003C63D3">
      <w:pPr>
        <w:jc w:val="both"/>
        <w:rPr>
          <w:i/>
        </w:rPr>
      </w:pPr>
    </w:p>
    <w:p w:rsidR="003C63D3" w:rsidRPr="00B7662F" w:rsidRDefault="003C63D3" w:rsidP="003C63D3">
      <w:pPr>
        <w:jc w:val="both"/>
        <w:rPr>
          <w:rFonts w:ascii="Arial" w:hAnsi="Arial" w:cs="Arial"/>
          <w:b/>
        </w:rPr>
      </w:pPr>
      <w:r w:rsidRPr="00B7662F">
        <w:rPr>
          <w:rFonts w:ascii="Arial" w:hAnsi="Arial" w:cs="Arial"/>
          <w:b/>
        </w:rPr>
        <w:t xml:space="preserve">5 </w:t>
      </w:r>
      <w:r w:rsidR="00B7662F" w:rsidRPr="00B7662F">
        <w:rPr>
          <w:rFonts w:ascii="Arial" w:hAnsi="Arial" w:cs="Arial"/>
          <w:b/>
        </w:rPr>
        <w:t>VÝJEZD Z PARKOVIŠTĚ NEBO ODPOČÍVKY</w:t>
      </w:r>
    </w:p>
    <w:p w:rsidR="003C63D3" w:rsidRPr="00B7662F" w:rsidRDefault="003C63D3" w:rsidP="003C63D3">
      <w:pPr>
        <w:jc w:val="both"/>
        <w:rPr>
          <w:rFonts w:ascii="Arial" w:hAnsi="Arial" w:cs="Arial"/>
          <w:b/>
        </w:rPr>
      </w:pPr>
    </w:p>
    <w:p w:rsidR="003C63D3" w:rsidRPr="00B7662F" w:rsidRDefault="003C63D3" w:rsidP="00B7662F">
      <w:pPr>
        <w:jc w:val="both"/>
        <w:rPr>
          <w:rFonts w:ascii="Arial" w:hAnsi="Arial" w:cs="Arial"/>
          <w:sz w:val="20"/>
          <w:szCs w:val="20"/>
        </w:rPr>
      </w:pPr>
      <w:r w:rsidRPr="00B7662F">
        <w:rPr>
          <w:rFonts w:ascii="Arial" w:hAnsi="Arial" w:cs="Arial"/>
          <w:sz w:val="20"/>
          <w:szCs w:val="20"/>
        </w:rPr>
        <w:t xml:space="preserve">Na výjezdu z parkoviště nebo odpočívky se užívá značky </w:t>
      </w:r>
      <w:r w:rsidR="00B7662F">
        <w:rPr>
          <w:rFonts w:ascii="Arial" w:hAnsi="Arial" w:cs="Arial"/>
          <w:sz w:val="20"/>
          <w:szCs w:val="20"/>
        </w:rPr>
        <w:t xml:space="preserve">„ Dej přednost v jízdě!“ </w:t>
      </w:r>
      <w:r w:rsidRPr="00B7662F">
        <w:rPr>
          <w:rFonts w:ascii="Arial" w:hAnsi="Arial" w:cs="Arial"/>
          <w:sz w:val="20"/>
          <w:szCs w:val="20"/>
        </w:rPr>
        <w:t>č. P 4 i v případě, že je připojení do průběžných pruhů řešeno připojovacím pruhem.</w:t>
      </w:r>
    </w:p>
    <w:p w:rsidR="003C63D3" w:rsidRPr="00B7662F" w:rsidRDefault="003C63D3" w:rsidP="003C63D3">
      <w:pPr>
        <w:numPr>
          <w:ilvl w:val="12"/>
          <w:numId w:val="0"/>
        </w:numPr>
        <w:ind w:left="283" w:hanging="283"/>
        <w:jc w:val="both"/>
        <w:rPr>
          <w:rFonts w:ascii="Arial" w:hAnsi="Arial" w:cs="Arial"/>
        </w:rPr>
      </w:pPr>
    </w:p>
    <w:p w:rsidR="003C63D3" w:rsidRPr="00B7662F" w:rsidRDefault="003C63D3" w:rsidP="00B7662F">
      <w:pPr>
        <w:jc w:val="both"/>
        <w:rPr>
          <w:rFonts w:ascii="Arial" w:hAnsi="Arial" w:cs="Arial"/>
          <w:b/>
          <w:sz w:val="20"/>
          <w:szCs w:val="20"/>
        </w:rPr>
      </w:pPr>
      <w:r w:rsidRPr="00B7662F">
        <w:rPr>
          <w:rFonts w:ascii="Arial" w:hAnsi="Arial" w:cs="Arial"/>
          <w:sz w:val="20"/>
          <w:szCs w:val="20"/>
        </w:rPr>
        <w:t>V odůvodněném případě (např. připojení bez připojovacího pruhu, hledisko bezpečnosti sil.provozu) se na výjezdu užívá značky</w:t>
      </w:r>
      <w:r w:rsidRPr="00B7662F">
        <w:rPr>
          <w:rFonts w:ascii="Arial" w:hAnsi="Arial" w:cs="Arial"/>
          <w:b/>
          <w:sz w:val="20"/>
          <w:szCs w:val="20"/>
        </w:rPr>
        <w:t xml:space="preserve"> </w:t>
      </w:r>
      <w:r w:rsidR="00B7662F">
        <w:rPr>
          <w:rFonts w:ascii="Arial" w:hAnsi="Arial" w:cs="Arial"/>
          <w:b/>
          <w:sz w:val="20"/>
          <w:szCs w:val="20"/>
        </w:rPr>
        <w:t>„</w:t>
      </w:r>
      <w:r w:rsidR="00B7662F">
        <w:rPr>
          <w:rFonts w:ascii="Arial" w:hAnsi="Arial" w:cs="Arial"/>
          <w:sz w:val="20"/>
          <w:szCs w:val="20"/>
        </w:rPr>
        <w:t xml:space="preserve">Stůj, dej přednost v jízdě!“ </w:t>
      </w:r>
      <w:r w:rsidRPr="00B7662F">
        <w:rPr>
          <w:rFonts w:ascii="Arial" w:hAnsi="Arial" w:cs="Arial"/>
          <w:sz w:val="20"/>
          <w:szCs w:val="20"/>
        </w:rPr>
        <w:t>č. P 6.</w:t>
      </w:r>
    </w:p>
    <w:p w:rsidR="003C63D3" w:rsidRPr="00B7662F" w:rsidRDefault="003C63D3" w:rsidP="003C63D3">
      <w:pPr>
        <w:jc w:val="both"/>
        <w:rPr>
          <w:rFonts w:ascii="Arial" w:hAnsi="Arial" w:cs="Arial"/>
        </w:rPr>
      </w:pPr>
    </w:p>
    <w:p w:rsidR="003C63D3" w:rsidRPr="00B7662F" w:rsidRDefault="003C63D3" w:rsidP="00B7662F">
      <w:pPr>
        <w:jc w:val="both"/>
        <w:rPr>
          <w:rFonts w:ascii="Arial" w:hAnsi="Arial" w:cs="Arial"/>
          <w:b/>
          <w:sz w:val="20"/>
          <w:szCs w:val="20"/>
        </w:rPr>
      </w:pPr>
      <w:r w:rsidRPr="00B7662F">
        <w:rPr>
          <w:rFonts w:ascii="Arial" w:hAnsi="Arial" w:cs="Arial"/>
          <w:sz w:val="20"/>
          <w:szCs w:val="20"/>
        </w:rPr>
        <w:t>Ke snížení rizika vjetí vozidla</w:t>
      </w:r>
      <w:r w:rsidRPr="00B7662F">
        <w:rPr>
          <w:rFonts w:ascii="Arial" w:hAnsi="Arial" w:cs="Arial"/>
          <w:b/>
          <w:sz w:val="20"/>
          <w:szCs w:val="20"/>
        </w:rPr>
        <w:t xml:space="preserve"> </w:t>
      </w:r>
      <w:r w:rsidR="00B7662F" w:rsidRPr="00B7662F">
        <w:rPr>
          <w:rFonts w:ascii="Arial" w:hAnsi="Arial" w:cs="Arial"/>
          <w:sz w:val="20"/>
          <w:szCs w:val="20"/>
        </w:rPr>
        <w:t>z parkoviště nebo odpočív</w:t>
      </w:r>
      <w:r w:rsidR="00B7662F">
        <w:rPr>
          <w:rFonts w:ascii="Arial" w:hAnsi="Arial" w:cs="Arial"/>
          <w:sz w:val="20"/>
          <w:szCs w:val="20"/>
        </w:rPr>
        <w:t>ky</w:t>
      </w:r>
      <w:r w:rsidR="00B7662F">
        <w:rPr>
          <w:rFonts w:ascii="Arial" w:hAnsi="Arial" w:cs="Arial"/>
          <w:b/>
          <w:sz w:val="20"/>
          <w:szCs w:val="20"/>
        </w:rPr>
        <w:t xml:space="preserve"> </w:t>
      </w:r>
      <w:r w:rsidRPr="00B7662F">
        <w:rPr>
          <w:rFonts w:ascii="Arial" w:hAnsi="Arial" w:cs="Arial"/>
          <w:sz w:val="20"/>
          <w:szCs w:val="20"/>
        </w:rPr>
        <w:t>zpět do protisměru směrově rozdělené silnice se užívá</w:t>
      </w:r>
      <w:r w:rsidRPr="00B7662F">
        <w:rPr>
          <w:rFonts w:ascii="Arial" w:hAnsi="Arial" w:cs="Arial"/>
          <w:b/>
          <w:sz w:val="20"/>
          <w:szCs w:val="20"/>
        </w:rPr>
        <w:t xml:space="preserve"> </w:t>
      </w:r>
      <w:r w:rsidR="00B7662F">
        <w:rPr>
          <w:rFonts w:ascii="Arial" w:hAnsi="Arial" w:cs="Arial"/>
          <w:sz w:val="20"/>
          <w:szCs w:val="20"/>
        </w:rPr>
        <w:t xml:space="preserve">značek „Zákaz </w:t>
      </w:r>
      <w:r w:rsidRPr="00B7662F">
        <w:rPr>
          <w:rFonts w:ascii="Arial" w:hAnsi="Arial" w:cs="Arial"/>
          <w:sz w:val="20"/>
          <w:szCs w:val="20"/>
        </w:rPr>
        <w:t>vjezdu všech vozidel“ č. B 2 orientovaných proti směru vjezdu a výjezdu, a to zpravidla po obou stranách jízdního pásu.</w:t>
      </w:r>
    </w:p>
    <w:p w:rsidR="003C63D3" w:rsidRPr="00B7662F" w:rsidRDefault="003C63D3" w:rsidP="003C63D3">
      <w:pPr>
        <w:jc w:val="both"/>
        <w:rPr>
          <w:rFonts w:ascii="Arial" w:hAnsi="Arial" w:cs="Arial"/>
        </w:rPr>
      </w:pPr>
    </w:p>
    <w:p w:rsidR="003C63D3" w:rsidRPr="00B7662F" w:rsidRDefault="003C63D3" w:rsidP="003C63D3">
      <w:pPr>
        <w:jc w:val="both"/>
        <w:rPr>
          <w:rFonts w:ascii="Arial" w:hAnsi="Arial" w:cs="Arial"/>
          <w:i/>
        </w:rPr>
      </w:pPr>
    </w:p>
    <w:p w:rsidR="003C63D3" w:rsidRPr="00B7662F" w:rsidRDefault="003C63D3" w:rsidP="003C63D3">
      <w:pPr>
        <w:jc w:val="both"/>
        <w:rPr>
          <w:rFonts w:ascii="Arial" w:hAnsi="Arial" w:cs="Arial"/>
          <w:b/>
        </w:rPr>
      </w:pPr>
    </w:p>
    <w:p w:rsidR="003C63D3" w:rsidRPr="00B7662F" w:rsidRDefault="00B7662F" w:rsidP="003C63D3">
      <w:pPr>
        <w:jc w:val="both"/>
        <w:rPr>
          <w:rFonts w:ascii="Arial" w:hAnsi="Arial" w:cs="Arial"/>
          <w:b/>
        </w:rPr>
      </w:pPr>
      <w:r w:rsidRPr="00B7662F">
        <w:rPr>
          <w:rFonts w:ascii="Arial" w:hAnsi="Arial" w:cs="Arial"/>
          <w:b/>
        </w:rPr>
        <w:t>6 UMÍSTĚNÍ SVISLÝCH ZNAČEK</w:t>
      </w:r>
    </w:p>
    <w:p w:rsidR="003C63D3" w:rsidRPr="00B7662F" w:rsidRDefault="003C63D3" w:rsidP="003C63D3">
      <w:pPr>
        <w:jc w:val="both"/>
        <w:rPr>
          <w:rFonts w:ascii="Arial" w:hAnsi="Arial" w:cs="Arial"/>
          <w:b/>
        </w:rPr>
      </w:pPr>
    </w:p>
    <w:p w:rsidR="003C63D3" w:rsidRPr="00B7662F" w:rsidRDefault="003C63D3" w:rsidP="003C63D3">
      <w:pPr>
        <w:jc w:val="both"/>
        <w:rPr>
          <w:rFonts w:ascii="Arial" w:hAnsi="Arial" w:cs="Arial"/>
          <w:sz w:val="20"/>
          <w:szCs w:val="20"/>
        </w:rPr>
      </w:pPr>
      <w:r w:rsidRPr="00B7662F">
        <w:rPr>
          <w:rFonts w:ascii="Arial" w:hAnsi="Arial" w:cs="Arial"/>
          <w:sz w:val="20"/>
          <w:szCs w:val="20"/>
        </w:rPr>
        <w:t>Pro umístění značek z hlediska vzdálenosti od okraje vozovky (boční umístění), výšky nad úrovní vozovky (výškové umístění) platí stejné zásady jako pro značky orientačního dopravního značení (viz kap. D</w:t>
      </w:r>
      <w:r w:rsidR="00B7662F">
        <w:rPr>
          <w:rFonts w:ascii="Arial" w:hAnsi="Arial" w:cs="Arial"/>
          <w:sz w:val="20"/>
          <w:szCs w:val="20"/>
        </w:rPr>
        <w:t>, čl</w:t>
      </w:r>
      <w:r w:rsidRPr="00B7662F">
        <w:rPr>
          <w:rFonts w:ascii="Arial" w:hAnsi="Arial" w:cs="Arial"/>
          <w:sz w:val="20"/>
          <w:szCs w:val="20"/>
        </w:rPr>
        <w:t>.3.3-5.).</w:t>
      </w:r>
    </w:p>
    <w:p w:rsidR="003C63D3" w:rsidRDefault="003C63D3" w:rsidP="003C63D3"/>
    <w:p w:rsidR="00BD5970" w:rsidRDefault="00BD5970"/>
    <w:sectPr w:rsidR="00BD5970" w:rsidSect="00F64D0C">
      <w:footerReference w:type="even" r:id="rId16"/>
      <w:footerReference w:type="default" r:id="rId17"/>
      <w:pgSz w:w="11907" w:h="16840"/>
      <w:pgMar w:top="1134" w:right="1275" w:bottom="1418" w:left="1418" w:header="708" w:footer="879" w:gutter="0"/>
      <w:pgNumType w:start="76"/>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ajoš Peter" w:date="2014-06-16T14:55:00Z" w:initials="HP">
    <w:p w:rsidR="00FD4F34" w:rsidRDefault="00FD4F34">
      <w:pPr>
        <w:pStyle w:val="Textkomente"/>
      </w:pPr>
      <w:r>
        <w:rPr>
          <w:rStyle w:val="Odkaznakoment"/>
        </w:rPr>
        <w:annotationRef/>
      </w:r>
      <w:r>
        <w:t>V této části mi chybí způsob označení truckparku. A dále sjednocení značení LPG, CNG, apod. ...</w:t>
      </w:r>
      <w:bookmarkStart w:id="1" w:name="_GoBack"/>
      <w:bookmarkEnd w:id="1"/>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D23" w:rsidRDefault="009C2D23" w:rsidP="005661DD">
      <w:r>
        <w:separator/>
      </w:r>
    </w:p>
  </w:endnote>
  <w:endnote w:type="continuationSeparator" w:id="0">
    <w:p w:rsidR="009C2D23" w:rsidRDefault="009C2D23" w:rsidP="00566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00007843" w:usb2="00000001"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61DD" w:rsidRDefault="007E6AD7">
    <w:pPr>
      <w:pStyle w:val="Zpat"/>
      <w:framePr w:wrap="around" w:vAnchor="text" w:hAnchor="margin" w:xAlign="center" w:y="1"/>
      <w:rPr>
        <w:rStyle w:val="slostrnky"/>
      </w:rPr>
    </w:pPr>
    <w:r>
      <w:rPr>
        <w:rStyle w:val="slostrnky"/>
      </w:rPr>
      <w:fldChar w:fldCharType="begin"/>
    </w:r>
    <w:r w:rsidR="00E81692">
      <w:rPr>
        <w:rStyle w:val="slostrnky"/>
      </w:rPr>
      <w:instrText xml:space="preserve">PAGE  </w:instrText>
    </w:r>
    <w:r>
      <w:rPr>
        <w:rStyle w:val="slostrnky"/>
      </w:rPr>
      <w:fldChar w:fldCharType="end"/>
    </w:r>
  </w:p>
  <w:p w:rsidR="005661DD" w:rsidRDefault="005661D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327434"/>
      <w:docPartObj>
        <w:docPartGallery w:val="Page Numbers (Bottom of Page)"/>
        <w:docPartUnique/>
      </w:docPartObj>
    </w:sdtPr>
    <w:sdtEndPr/>
    <w:sdtContent>
      <w:p w:rsidR="00F64D0C" w:rsidRDefault="00FD4F34">
        <w:pPr>
          <w:pStyle w:val="Zpat"/>
          <w:jc w:val="center"/>
        </w:pPr>
        <w:r>
          <w:fldChar w:fldCharType="begin"/>
        </w:r>
        <w:r>
          <w:instrText xml:space="preserve"> PAGE   \* MERGEFORMAT </w:instrText>
        </w:r>
        <w:r>
          <w:fldChar w:fldCharType="separate"/>
        </w:r>
        <w:r>
          <w:rPr>
            <w:noProof/>
          </w:rPr>
          <w:t>76</w:t>
        </w:r>
        <w:r>
          <w:rPr>
            <w:noProof/>
          </w:rPr>
          <w:fldChar w:fldCharType="end"/>
        </w:r>
      </w:p>
    </w:sdtContent>
  </w:sdt>
  <w:p w:rsidR="00F64D0C" w:rsidRDefault="00F64D0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D23" w:rsidRDefault="009C2D23" w:rsidP="005661DD">
      <w:r>
        <w:separator/>
      </w:r>
    </w:p>
  </w:footnote>
  <w:footnote w:type="continuationSeparator" w:id="0">
    <w:p w:rsidR="009C2D23" w:rsidRDefault="009C2D23" w:rsidP="005661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5724C"/>
    <w:multiLevelType w:val="singleLevel"/>
    <w:tmpl w:val="21DA150A"/>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
    <w:nsid w:val="0FCD55CA"/>
    <w:multiLevelType w:val="singleLevel"/>
    <w:tmpl w:val="21DA150A"/>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
    <w:nsid w:val="14886B0E"/>
    <w:multiLevelType w:val="singleLevel"/>
    <w:tmpl w:val="21DA150A"/>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
    <w:nsid w:val="25EF0A7C"/>
    <w:multiLevelType w:val="singleLevel"/>
    <w:tmpl w:val="DA045C22"/>
    <w:lvl w:ilvl="0">
      <w:start w:val="4"/>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4">
    <w:nsid w:val="2FF33AED"/>
    <w:multiLevelType w:val="singleLevel"/>
    <w:tmpl w:val="B67C623C"/>
    <w:lvl w:ilvl="0">
      <w:start w:val="3"/>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5">
    <w:nsid w:val="377B3795"/>
    <w:multiLevelType w:val="singleLevel"/>
    <w:tmpl w:val="21DA150A"/>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6">
    <w:nsid w:val="3DED5F4D"/>
    <w:multiLevelType w:val="singleLevel"/>
    <w:tmpl w:val="21DA150A"/>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7">
    <w:nsid w:val="5A39769A"/>
    <w:multiLevelType w:val="singleLevel"/>
    <w:tmpl w:val="21DA150A"/>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8">
    <w:nsid w:val="62AF12CC"/>
    <w:multiLevelType w:val="singleLevel"/>
    <w:tmpl w:val="7AB28A84"/>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9">
    <w:nsid w:val="68096DBE"/>
    <w:multiLevelType w:val="singleLevel"/>
    <w:tmpl w:val="21DA150A"/>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0">
    <w:nsid w:val="750041EE"/>
    <w:multiLevelType w:val="singleLevel"/>
    <w:tmpl w:val="21DA150A"/>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num w:numId="1">
    <w:abstractNumId w:val="5"/>
  </w:num>
  <w:num w:numId="2">
    <w:abstractNumId w:val="6"/>
  </w:num>
  <w:num w:numId="3">
    <w:abstractNumId w:val="9"/>
  </w:num>
  <w:num w:numId="4">
    <w:abstractNumId w:val="8"/>
  </w:num>
  <w:num w:numId="5">
    <w:abstractNumId w:val="4"/>
  </w:num>
  <w:num w:numId="6">
    <w:abstractNumId w:val="2"/>
  </w:num>
  <w:num w:numId="7">
    <w:abstractNumId w:val="3"/>
  </w:num>
  <w:num w:numId="8">
    <w:abstractNumId w:val="1"/>
  </w:num>
  <w:num w:numId="9">
    <w:abstractNumId w:val="7"/>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6"/>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C63D3"/>
    <w:rsid w:val="00026126"/>
    <w:rsid w:val="0022411E"/>
    <w:rsid w:val="00380552"/>
    <w:rsid w:val="003C63D3"/>
    <w:rsid w:val="005661DD"/>
    <w:rsid w:val="005E4D5D"/>
    <w:rsid w:val="00756B9A"/>
    <w:rsid w:val="007E6AD7"/>
    <w:rsid w:val="009C2D23"/>
    <w:rsid w:val="00B05A2F"/>
    <w:rsid w:val="00B11A09"/>
    <w:rsid w:val="00B7662F"/>
    <w:rsid w:val="00BD5970"/>
    <w:rsid w:val="00C031A4"/>
    <w:rsid w:val="00D447D8"/>
    <w:rsid w:val="00D66911"/>
    <w:rsid w:val="00DC26AA"/>
    <w:rsid w:val="00DD4066"/>
    <w:rsid w:val="00E81692"/>
    <w:rsid w:val="00F57746"/>
    <w:rsid w:val="00F64D0C"/>
    <w:rsid w:val="00FD4F3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C63D3"/>
    <w:pPr>
      <w:jc w:val="left"/>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semiHidden/>
    <w:rsid w:val="003C63D3"/>
  </w:style>
  <w:style w:type="paragraph" w:styleId="Zpat">
    <w:name w:val="footer"/>
    <w:basedOn w:val="Normln"/>
    <w:link w:val="ZpatChar"/>
    <w:uiPriority w:val="99"/>
    <w:rsid w:val="003C63D3"/>
    <w:pPr>
      <w:tabs>
        <w:tab w:val="center" w:pos="4536"/>
        <w:tab w:val="right" w:pos="9072"/>
      </w:tabs>
      <w:overflowPunct w:val="0"/>
      <w:autoSpaceDE w:val="0"/>
      <w:autoSpaceDN w:val="0"/>
      <w:adjustRightInd w:val="0"/>
      <w:textAlignment w:val="baseline"/>
    </w:pPr>
    <w:rPr>
      <w:sz w:val="20"/>
      <w:szCs w:val="20"/>
    </w:rPr>
  </w:style>
  <w:style w:type="character" w:customStyle="1" w:styleId="ZpatChar">
    <w:name w:val="Zápatí Char"/>
    <w:basedOn w:val="Standardnpsmoodstavce"/>
    <w:link w:val="Zpat"/>
    <w:uiPriority w:val="99"/>
    <w:rsid w:val="003C63D3"/>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026126"/>
    <w:rPr>
      <w:rFonts w:ascii="Tahoma" w:hAnsi="Tahoma" w:cs="Tahoma"/>
      <w:sz w:val="16"/>
      <w:szCs w:val="16"/>
    </w:rPr>
  </w:style>
  <w:style w:type="character" w:customStyle="1" w:styleId="TextbublinyChar">
    <w:name w:val="Text bubliny Char"/>
    <w:basedOn w:val="Standardnpsmoodstavce"/>
    <w:link w:val="Textbubliny"/>
    <w:uiPriority w:val="99"/>
    <w:semiHidden/>
    <w:rsid w:val="00026126"/>
    <w:rPr>
      <w:rFonts w:ascii="Tahoma" w:eastAsia="Times New Roman" w:hAnsi="Tahoma" w:cs="Tahoma"/>
      <w:sz w:val="16"/>
      <w:szCs w:val="16"/>
      <w:lang w:eastAsia="cs-CZ"/>
    </w:rPr>
  </w:style>
  <w:style w:type="paragraph" w:styleId="Zhlav">
    <w:name w:val="header"/>
    <w:basedOn w:val="Normln"/>
    <w:link w:val="ZhlavChar"/>
    <w:uiPriority w:val="99"/>
    <w:semiHidden/>
    <w:unhideWhenUsed/>
    <w:rsid w:val="00B7662F"/>
    <w:pPr>
      <w:tabs>
        <w:tab w:val="center" w:pos="4536"/>
        <w:tab w:val="right" w:pos="9072"/>
      </w:tabs>
    </w:pPr>
  </w:style>
  <w:style w:type="character" w:customStyle="1" w:styleId="ZhlavChar">
    <w:name w:val="Záhlaví Char"/>
    <w:basedOn w:val="Standardnpsmoodstavce"/>
    <w:link w:val="Zhlav"/>
    <w:uiPriority w:val="99"/>
    <w:semiHidden/>
    <w:rsid w:val="00B7662F"/>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FD4F34"/>
    <w:rPr>
      <w:sz w:val="16"/>
      <w:szCs w:val="16"/>
    </w:rPr>
  </w:style>
  <w:style w:type="paragraph" w:styleId="Textkomente">
    <w:name w:val="annotation text"/>
    <w:basedOn w:val="Normln"/>
    <w:link w:val="TextkomenteChar"/>
    <w:uiPriority w:val="99"/>
    <w:semiHidden/>
    <w:unhideWhenUsed/>
    <w:rsid w:val="00FD4F34"/>
    <w:rPr>
      <w:sz w:val="20"/>
      <w:szCs w:val="20"/>
    </w:rPr>
  </w:style>
  <w:style w:type="character" w:customStyle="1" w:styleId="TextkomenteChar">
    <w:name w:val="Text komentáře Char"/>
    <w:basedOn w:val="Standardnpsmoodstavce"/>
    <w:link w:val="Textkomente"/>
    <w:uiPriority w:val="99"/>
    <w:semiHidden/>
    <w:rsid w:val="00FD4F3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D4F34"/>
    <w:rPr>
      <w:b/>
      <w:bCs/>
    </w:rPr>
  </w:style>
  <w:style w:type="character" w:customStyle="1" w:styleId="PedmtkomenteChar">
    <w:name w:val="Předmět komentáře Char"/>
    <w:basedOn w:val="TextkomenteChar"/>
    <w:link w:val="Pedmtkomente"/>
    <w:uiPriority w:val="99"/>
    <w:semiHidden/>
    <w:rsid w:val="00FD4F34"/>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5.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6</Pages>
  <Words>850</Words>
  <Characters>5018</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5857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Tonda</dc:creator>
  <cp:lastModifiedBy>Hajoš Peter</cp:lastModifiedBy>
  <cp:revision>8</cp:revision>
  <dcterms:created xsi:type="dcterms:W3CDTF">2014-06-07T05:46:00Z</dcterms:created>
  <dcterms:modified xsi:type="dcterms:W3CDTF">2014-06-16T12:55:00Z</dcterms:modified>
</cp:coreProperties>
</file>